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r>
        <w:rPr>
          <w:rFonts w:hint="eastAsia"/>
          <w:sz w:val="36"/>
          <w:szCs w:val="40"/>
        </w:rPr>
        <w:t>景德镇市卫生学校2</w:t>
      </w:r>
      <w:r>
        <w:rPr>
          <w:sz w:val="36"/>
          <w:szCs w:val="40"/>
        </w:rPr>
        <w:t>02</w:t>
      </w:r>
      <w:r>
        <w:rPr>
          <w:rFonts w:hint="eastAsia"/>
          <w:sz w:val="36"/>
          <w:szCs w:val="40"/>
          <w:lang w:val="en-US" w:eastAsia="zh-CN"/>
        </w:rPr>
        <w:t>1</w:t>
      </w:r>
      <w:r>
        <w:rPr>
          <w:rFonts w:hint="eastAsia"/>
          <w:sz w:val="36"/>
          <w:szCs w:val="40"/>
        </w:rPr>
        <w:t>级护理专业</w:t>
      </w:r>
    </w:p>
    <w:p>
      <w:pPr>
        <w:jc w:val="center"/>
        <w:rPr>
          <w:rFonts w:hint="default" w:eastAsia="宋体"/>
          <w:sz w:val="36"/>
          <w:szCs w:val="40"/>
          <w:lang w:val="en-US" w:eastAsia="zh-CN"/>
        </w:rPr>
      </w:pPr>
      <w:r>
        <w:rPr>
          <w:rFonts w:hint="eastAsia"/>
          <w:sz w:val="36"/>
          <w:szCs w:val="40"/>
        </w:rPr>
        <w:t>人才培养方案</w:t>
      </w:r>
      <w:bookmarkStart w:id="1" w:name="_GoBack"/>
      <w:bookmarkEnd w:id="1"/>
    </w:p>
    <w:p/>
    <w:p>
      <w:pPr>
        <w:ind w:firstLine="560" w:firstLineChars="200"/>
        <w:rPr>
          <w:rFonts w:hint="eastAsia"/>
          <w:sz w:val="28"/>
          <w:szCs w:val="28"/>
        </w:rPr>
      </w:pPr>
      <w:r>
        <w:rPr>
          <w:rFonts w:hint="eastAsia"/>
          <w:sz w:val="28"/>
          <w:szCs w:val="28"/>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w:t>
      </w:r>
      <w:r>
        <w:rPr>
          <w:rFonts w:hint="eastAsia"/>
          <w:sz w:val="28"/>
          <w:szCs w:val="28"/>
          <w:lang w:val="en-US" w:eastAsia="zh-CN"/>
        </w:rPr>
        <w:t>高质量养老护理</w:t>
      </w:r>
      <w:r>
        <w:rPr>
          <w:rFonts w:hint="eastAsia"/>
          <w:sz w:val="28"/>
          <w:szCs w:val="28"/>
        </w:rPr>
        <w:t>人才。</w:t>
      </w:r>
    </w:p>
    <w:p>
      <w:pPr>
        <w:ind w:firstLine="560" w:firstLineChars="200"/>
        <w:rPr>
          <w:rFonts w:hint="eastAsia"/>
          <w:b/>
          <w:bCs/>
          <w:sz w:val="28"/>
          <w:szCs w:val="28"/>
        </w:rPr>
      </w:pPr>
      <w:r>
        <w:rPr>
          <w:rFonts w:hint="eastAsia"/>
          <w:sz w:val="28"/>
          <w:szCs w:val="28"/>
        </w:rPr>
        <w:t>为贯彻《国家职业教育改革实施方案》，落实《教育部关于职业院校专业人才培养方案制订与实施工作的指导意见》，对接国家教学标准，以调研工作为基础，结合区域经济发展需求和我校办学实际，参考教职成司研制的《职业院校专业人才培养方案参考格式及有关说明》，制订《景德镇市卫生学校护理专业人才培养方案》。</w:t>
      </w:r>
    </w:p>
    <w:p>
      <w:pPr>
        <w:rPr>
          <w:b/>
          <w:bCs/>
          <w:sz w:val="28"/>
          <w:szCs w:val="28"/>
        </w:rPr>
      </w:pPr>
      <w:r>
        <w:rPr>
          <w:rFonts w:hint="eastAsia"/>
          <w:b/>
          <w:bCs/>
          <w:sz w:val="28"/>
          <w:szCs w:val="28"/>
        </w:rPr>
        <w:t>一、专业名称及代码</w:t>
      </w:r>
    </w:p>
    <w:p>
      <w:pPr>
        <w:rPr>
          <w:rFonts w:hint="eastAsia"/>
          <w:b/>
          <w:bCs/>
          <w:sz w:val="28"/>
          <w:szCs w:val="28"/>
        </w:rPr>
      </w:pPr>
      <w:r>
        <w:rPr>
          <w:rFonts w:hint="eastAsia"/>
          <w:sz w:val="28"/>
          <w:szCs w:val="28"/>
        </w:rPr>
        <w:t>护理（</w:t>
      </w:r>
      <w:r>
        <w:rPr>
          <w:rFonts w:hint="eastAsia"/>
          <w:sz w:val="28"/>
          <w:szCs w:val="28"/>
          <w:lang w:val="en-US" w:eastAsia="zh-CN"/>
        </w:rPr>
        <w:t>720221</w:t>
      </w:r>
      <w:r>
        <w:rPr>
          <w:rFonts w:hint="eastAsia"/>
          <w:sz w:val="28"/>
          <w:szCs w:val="28"/>
        </w:rPr>
        <w:t>）</w:t>
      </w:r>
    </w:p>
    <w:p>
      <w:pPr>
        <w:rPr>
          <w:b/>
          <w:bCs/>
          <w:sz w:val="28"/>
          <w:szCs w:val="28"/>
        </w:rPr>
      </w:pPr>
      <w:r>
        <w:rPr>
          <w:rFonts w:hint="eastAsia"/>
          <w:b/>
          <w:bCs/>
          <w:sz w:val="28"/>
          <w:szCs w:val="28"/>
        </w:rPr>
        <w:t>二、入学要求</w:t>
      </w:r>
    </w:p>
    <w:p>
      <w:pPr>
        <w:rPr>
          <w:rFonts w:hint="eastAsia"/>
          <w:b/>
          <w:bCs/>
          <w:sz w:val="28"/>
          <w:szCs w:val="28"/>
        </w:rPr>
      </w:pPr>
      <w:r>
        <w:rPr>
          <w:rFonts w:hint="eastAsia"/>
          <w:sz w:val="28"/>
          <w:szCs w:val="28"/>
        </w:rPr>
        <w:t>一般为初中毕业生或具有同等学力者</w:t>
      </w:r>
    </w:p>
    <w:p>
      <w:pPr>
        <w:rPr>
          <w:b/>
          <w:bCs/>
          <w:sz w:val="28"/>
          <w:szCs w:val="28"/>
        </w:rPr>
      </w:pPr>
      <w:r>
        <w:rPr>
          <w:rFonts w:hint="eastAsia"/>
          <w:b/>
          <w:bCs/>
          <w:sz w:val="28"/>
          <w:szCs w:val="28"/>
        </w:rPr>
        <w:t>三、修业年限</w:t>
      </w:r>
    </w:p>
    <w:p>
      <w:pPr>
        <w:rPr>
          <w:rFonts w:hint="eastAsia"/>
          <w:b/>
          <w:bCs/>
          <w:sz w:val="28"/>
          <w:szCs w:val="28"/>
        </w:rPr>
      </w:pPr>
      <w:r>
        <w:rPr>
          <w:rFonts w:hint="eastAsia"/>
          <w:sz w:val="28"/>
          <w:szCs w:val="28"/>
        </w:rPr>
        <w:t>3年</w:t>
      </w:r>
    </w:p>
    <w:p>
      <w:pPr>
        <w:numPr>
          <w:ilvl w:val="0"/>
          <w:numId w:val="1"/>
        </w:numPr>
        <w:rPr>
          <w:rFonts w:hint="eastAsia"/>
          <w:b/>
          <w:bCs/>
          <w:sz w:val="28"/>
          <w:szCs w:val="28"/>
        </w:rPr>
      </w:pPr>
      <w:r>
        <w:rPr>
          <w:rFonts w:hint="eastAsia"/>
          <w:b/>
          <w:bCs/>
          <w:sz w:val="28"/>
          <w:szCs w:val="28"/>
        </w:rPr>
        <w:t>职业面向</w:t>
      </w:r>
    </w:p>
    <w:tbl>
      <w:tblPr>
        <w:tblStyle w:val="6"/>
        <w:tblpPr w:leftFromText="180" w:rightFromText="180" w:vertAnchor="text" w:horzAnchor="page" w:tblpX="1500" w:tblpY="471"/>
        <w:tblOverlap w:val="never"/>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843"/>
        <w:gridCol w:w="46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13" w:type="dxa"/>
          </w:tcPr>
          <w:p>
            <w:pPr>
              <w:jc w:val="center"/>
              <w:rPr>
                <w:b/>
                <w:bCs/>
                <w:sz w:val="24"/>
                <w:szCs w:val="24"/>
              </w:rPr>
            </w:pPr>
            <w:r>
              <w:rPr>
                <w:rFonts w:hint="eastAsia"/>
                <w:b/>
                <w:bCs/>
                <w:sz w:val="24"/>
                <w:szCs w:val="24"/>
              </w:rPr>
              <w:t>专业大类</w:t>
            </w:r>
          </w:p>
          <w:p>
            <w:pPr>
              <w:jc w:val="center"/>
              <w:rPr>
                <w:b/>
                <w:bCs/>
                <w:sz w:val="28"/>
                <w:szCs w:val="28"/>
              </w:rPr>
            </w:pPr>
            <w:r>
              <w:rPr>
                <w:rFonts w:hint="eastAsia"/>
                <w:b/>
                <w:bCs/>
                <w:sz w:val="24"/>
                <w:szCs w:val="24"/>
              </w:rPr>
              <w:t>（代码）</w:t>
            </w:r>
          </w:p>
        </w:tc>
        <w:tc>
          <w:tcPr>
            <w:tcW w:w="1843" w:type="dxa"/>
            <w:shd w:val="clear" w:color="auto" w:fill="auto"/>
          </w:tcPr>
          <w:p>
            <w:pPr>
              <w:widowControl/>
              <w:jc w:val="center"/>
              <w:rPr>
                <w:b/>
                <w:bCs/>
                <w:sz w:val="24"/>
                <w:szCs w:val="24"/>
              </w:rPr>
            </w:pPr>
            <w:r>
              <w:rPr>
                <w:rFonts w:hint="eastAsia"/>
                <w:b/>
                <w:bCs/>
                <w:sz w:val="24"/>
                <w:szCs w:val="24"/>
              </w:rPr>
              <w:t>主要职业类别</w:t>
            </w:r>
          </w:p>
          <w:p>
            <w:pPr>
              <w:widowControl/>
              <w:jc w:val="center"/>
              <w:rPr>
                <w:b/>
                <w:bCs/>
                <w:sz w:val="24"/>
                <w:szCs w:val="24"/>
              </w:rPr>
            </w:pPr>
            <w:r>
              <w:rPr>
                <w:rFonts w:hint="eastAsia"/>
                <w:b/>
                <w:bCs/>
                <w:sz w:val="24"/>
                <w:szCs w:val="24"/>
              </w:rPr>
              <w:t>（代码）</w:t>
            </w:r>
          </w:p>
        </w:tc>
        <w:tc>
          <w:tcPr>
            <w:tcW w:w="4677" w:type="dxa"/>
            <w:shd w:val="clear" w:color="auto" w:fill="auto"/>
            <w:vAlign w:val="center"/>
          </w:tcPr>
          <w:p>
            <w:pPr>
              <w:widowControl/>
              <w:jc w:val="center"/>
              <w:rPr>
                <w:b/>
                <w:bCs/>
                <w:sz w:val="24"/>
                <w:szCs w:val="24"/>
              </w:rPr>
            </w:pPr>
            <w:r>
              <w:rPr>
                <w:rFonts w:hint="eastAsia"/>
                <w:b/>
                <w:bCs/>
                <w:sz w:val="24"/>
                <w:szCs w:val="24"/>
              </w:rPr>
              <w:t>职业资格证书举例</w:t>
            </w:r>
          </w:p>
        </w:tc>
        <w:tc>
          <w:tcPr>
            <w:tcW w:w="1276" w:type="dxa"/>
            <w:shd w:val="clear" w:color="auto" w:fill="auto"/>
          </w:tcPr>
          <w:p>
            <w:pPr>
              <w:widowControl/>
              <w:jc w:val="left"/>
              <w:rPr>
                <w:b/>
                <w:bCs/>
                <w:sz w:val="24"/>
                <w:szCs w:val="24"/>
              </w:rPr>
            </w:pPr>
            <w:r>
              <w:rPr>
                <w:rFonts w:hint="eastAsia"/>
                <w:b/>
                <w:bCs/>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3" w:type="dxa"/>
            <w:vMerge w:val="restart"/>
            <w:vAlign w:val="center"/>
          </w:tcPr>
          <w:p>
            <w:pPr>
              <w:jc w:val="center"/>
              <w:rPr>
                <w:sz w:val="24"/>
                <w:szCs w:val="24"/>
              </w:rPr>
            </w:pPr>
            <w:r>
              <w:rPr>
                <w:rFonts w:hint="eastAsia"/>
                <w:sz w:val="24"/>
                <w:szCs w:val="24"/>
              </w:rPr>
              <w:t>医药卫生大类（</w:t>
            </w:r>
            <w:r>
              <w:rPr>
                <w:rFonts w:hint="eastAsia"/>
                <w:sz w:val="24"/>
                <w:szCs w:val="24"/>
                <w:lang w:val="en-US" w:eastAsia="zh-CN"/>
              </w:rPr>
              <w:t>72</w:t>
            </w:r>
            <w:r>
              <w:rPr>
                <w:rFonts w:hint="eastAsia"/>
                <w:sz w:val="24"/>
                <w:szCs w:val="24"/>
              </w:rPr>
              <w:t>）</w:t>
            </w:r>
          </w:p>
        </w:tc>
        <w:tc>
          <w:tcPr>
            <w:tcW w:w="1843" w:type="dxa"/>
            <w:shd w:val="clear" w:color="auto" w:fill="auto"/>
            <w:vAlign w:val="center"/>
          </w:tcPr>
          <w:p>
            <w:pPr>
              <w:widowControl/>
              <w:jc w:val="center"/>
              <w:rPr>
                <w:sz w:val="24"/>
                <w:szCs w:val="24"/>
              </w:rPr>
            </w:pPr>
            <w:r>
              <w:rPr>
                <w:rFonts w:hint="eastAsia"/>
                <w:sz w:val="24"/>
                <w:szCs w:val="24"/>
              </w:rPr>
              <w:t>护理人员</w:t>
            </w:r>
          </w:p>
          <w:p>
            <w:pPr>
              <w:widowControl/>
              <w:jc w:val="center"/>
              <w:rPr>
                <w:sz w:val="24"/>
                <w:szCs w:val="24"/>
              </w:rPr>
            </w:pPr>
            <w:r>
              <w:rPr>
                <w:rFonts w:hint="eastAsia"/>
                <w:sz w:val="24"/>
                <w:szCs w:val="24"/>
              </w:rPr>
              <w:t>（2-</w:t>
            </w:r>
            <w:r>
              <w:rPr>
                <w:sz w:val="24"/>
                <w:szCs w:val="24"/>
              </w:rPr>
              <w:t>05</w:t>
            </w:r>
            <w:r>
              <w:rPr>
                <w:rFonts w:hint="eastAsia"/>
                <w:sz w:val="24"/>
                <w:szCs w:val="24"/>
              </w:rPr>
              <w:t>-</w:t>
            </w:r>
            <w:r>
              <w:rPr>
                <w:sz w:val="24"/>
                <w:szCs w:val="24"/>
              </w:rPr>
              <w:t>08</w:t>
            </w:r>
            <w:r>
              <w:rPr>
                <w:rFonts w:hint="eastAsia"/>
                <w:sz w:val="24"/>
                <w:szCs w:val="24"/>
              </w:rPr>
              <w:t>）</w:t>
            </w:r>
          </w:p>
        </w:tc>
        <w:tc>
          <w:tcPr>
            <w:tcW w:w="4677" w:type="dxa"/>
            <w:shd w:val="clear" w:color="auto" w:fill="auto"/>
            <w:vAlign w:val="center"/>
          </w:tcPr>
          <w:p>
            <w:pPr>
              <w:widowControl/>
              <w:jc w:val="center"/>
              <w:rPr>
                <w:sz w:val="24"/>
                <w:szCs w:val="24"/>
              </w:rPr>
            </w:pPr>
            <w:r>
              <w:rPr>
                <w:rFonts w:hint="eastAsia"/>
                <w:sz w:val="24"/>
                <w:szCs w:val="24"/>
              </w:rPr>
              <w:t>护士执业资格证</w:t>
            </w:r>
          </w:p>
        </w:tc>
        <w:tc>
          <w:tcPr>
            <w:tcW w:w="1276" w:type="dxa"/>
            <w:shd w:val="clear" w:color="auto" w:fill="auto"/>
            <w:vAlign w:val="center"/>
          </w:tcPr>
          <w:p>
            <w:pPr>
              <w:widowControl/>
              <w:jc w:val="center"/>
              <w:rPr>
                <w:sz w:val="24"/>
                <w:szCs w:val="24"/>
              </w:rPr>
            </w:pPr>
            <w:r>
              <w:rPr>
                <w:rFonts w:hint="eastAsia"/>
                <w:sz w:val="24"/>
                <w:szCs w:val="24"/>
              </w:rPr>
              <w:t>临床护理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13" w:type="dxa"/>
            <w:vMerge w:val="continue"/>
            <w:vAlign w:val="center"/>
          </w:tcPr>
          <w:p>
            <w:pPr>
              <w:jc w:val="center"/>
              <w:rPr>
                <w:sz w:val="24"/>
                <w:szCs w:val="24"/>
              </w:rPr>
            </w:pPr>
          </w:p>
        </w:tc>
        <w:tc>
          <w:tcPr>
            <w:tcW w:w="1843" w:type="dxa"/>
            <w:shd w:val="clear" w:color="auto" w:fill="auto"/>
            <w:vAlign w:val="center"/>
          </w:tcPr>
          <w:p>
            <w:pPr>
              <w:jc w:val="center"/>
              <w:rPr>
                <w:sz w:val="24"/>
                <w:szCs w:val="24"/>
              </w:rPr>
            </w:pPr>
            <w:r>
              <w:rPr>
                <w:rFonts w:hint="eastAsia"/>
                <w:sz w:val="24"/>
                <w:szCs w:val="24"/>
              </w:rPr>
              <w:t>护理人员</w:t>
            </w:r>
          </w:p>
          <w:p>
            <w:pPr>
              <w:jc w:val="center"/>
              <w:rPr>
                <w:sz w:val="24"/>
                <w:szCs w:val="24"/>
              </w:rPr>
            </w:pPr>
            <w:r>
              <w:rPr>
                <w:rFonts w:hint="eastAsia"/>
                <w:sz w:val="24"/>
                <w:szCs w:val="24"/>
              </w:rPr>
              <w:t>养老护理员（4-</w:t>
            </w:r>
            <w:r>
              <w:rPr>
                <w:sz w:val="24"/>
                <w:szCs w:val="24"/>
              </w:rPr>
              <w:t>10</w:t>
            </w:r>
            <w:r>
              <w:rPr>
                <w:rFonts w:hint="eastAsia"/>
                <w:sz w:val="24"/>
                <w:szCs w:val="24"/>
              </w:rPr>
              <w:t>-</w:t>
            </w:r>
            <w:r>
              <w:rPr>
                <w:sz w:val="24"/>
                <w:szCs w:val="24"/>
              </w:rPr>
              <w:t>01</w:t>
            </w:r>
            <w:r>
              <w:rPr>
                <w:rFonts w:hint="eastAsia"/>
                <w:sz w:val="24"/>
                <w:szCs w:val="24"/>
              </w:rPr>
              <w:t>-</w:t>
            </w:r>
            <w:r>
              <w:rPr>
                <w:sz w:val="24"/>
                <w:szCs w:val="24"/>
              </w:rPr>
              <w:t>05</w:t>
            </w:r>
            <w:r>
              <w:rPr>
                <w:rFonts w:hint="eastAsia"/>
                <w:sz w:val="24"/>
                <w:szCs w:val="24"/>
              </w:rPr>
              <w:t>）</w:t>
            </w:r>
          </w:p>
        </w:tc>
        <w:tc>
          <w:tcPr>
            <w:tcW w:w="4677" w:type="dxa"/>
            <w:shd w:val="clear" w:color="auto" w:fill="auto"/>
            <w:vAlign w:val="center"/>
          </w:tcPr>
          <w:p>
            <w:pPr>
              <w:widowControl/>
              <w:jc w:val="center"/>
              <w:rPr>
                <w:sz w:val="24"/>
                <w:szCs w:val="24"/>
              </w:rPr>
            </w:pPr>
            <w:r>
              <w:rPr>
                <w:rFonts w:hint="eastAsia"/>
                <w:sz w:val="24"/>
                <w:szCs w:val="24"/>
              </w:rPr>
              <w:t>护士执业资格证</w:t>
            </w:r>
          </w:p>
          <w:p>
            <w:pPr>
              <w:widowControl/>
              <w:jc w:val="center"/>
              <w:rPr>
                <w:sz w:val="24"/>
                <w:szCs w:val="24"/>
              </w:rPr>
            </w:pPr>
            <w:r>
              <w:rPr>
                <w:rFonts w:hint="eastAsia"/>
                <w:sz w:val="24"/>
                <w:szCs w:val="24"/>
              </w:rPr>
              <w:t>1+X老年照护职业技能等级证书，</w:t>
            </w:r>
          </w:p>
          <w:p>
            <w:pPr>
              <w:widowControl/>
              <w:jc w:val="center"/>
              <w:rPr>
                <w:sz w:val="24"/>
                <w:szCs w:val="24"/>
              </w:rPr>
            </w:pPr>
            <w:r>
              <w:rPr>
                <w:rFonts w:hint="eastAsia"/>
                <w:sz w:val="24"/>
                <w:szCs w:val="24"/>
              </w:rPr>
              <w:t>1+X失智老年人照护职业技能等级证书</w:t>
            </w:r>
          </w:p>
        </w:tc>
        <w:tc>
          <w:tcPr>
            <w:tcW w:w="1276" w:type="dxa"/>
            <w:shd w:val="clear" w:color="auto" w:fill="auto"/>
            <w:vAlign w:val="center"/>
          </w:tcPr>
          <w:p>
            <w:pPr>
              <w:widowControl/>
              <w:jc w:val="center"/>
              <w:rPr>
                <w:sz w:val="24"/>
                <w:szCs w:val="24"/>
              </w:rPr>
            </w:pPr>
            <w:r>
              <w:rPr>
                <w:rFonts w:hint="eastAsia"/>
                <w:sz w:val="24"/>
                <w:szCs w:val="24"/>
              </w:rPr>
              <w:t>养老护理</w:t>
            </w:r>
          </w:p>
        </w:tc>
      </w:tr>
    </w:tbl>
    <w:p>
      <w:pPr>
        <w:rPr>
          <w:b/>
          <w:bCs/>
          <w:sz w:val="28"/>
          <w:szCs w:val="28"/>
        </w:rPr>
      </w:pPr>
      <w:r>
        <w:rPr>
          <w:rFonts w:hint="eastAsia"/>
          <w:b/>
          <w:bCs/>
          <w:sz w:val="28"/>
          <w:szCs w:val="28"/>
        </w:rPr>
        <w:t>五、培养目标</w:t>
      </w:r>
    </w:p>
    <w:p>
      <w:pPr>
        <w:ind w:firstLine="560" w:firstLineChars="200"/>
        <w:rPr>
          <w:rFonts w:hint="eastAsia"/>
          <w:sz w:val="28"/>
          <w:szCs w:val="28"/>
        </w:rPr>
      </w:pPr>
      <w:r>
        <w:rPr>
          <w:rFonts w:hint="eastAsia"/>
          <w:sz w:val="28"/>
          <w:szCs w:val="28"/>
        </w:rPr>
        <w:t>贯彻执行国家教育、卫生工作方针，坚持立德树人根本任务，以服务为宗旨、以就业为导向，以护理专业岗位需求为标准，培养适应我国社会主义现代化建设和护理事业发展需要的，德智体美劳全面发展的，较系统地掌握护理专业必需的基本理论知识和专业技能，具有良好的职业道德、人文素养、实践能力、工匠精神和创新精神，具有较强的人际沟通能力和团队协作精神，毕业后能在各级医疗、卫生、预防、康复和保健机构从事临床护理、养老护理和康复保健等护理工作的技术应用型专门人才。</w:t>
      </w:r>
    </w:p>
    <w:p>
      <w:pPr>
        <w:ind w:firstLine="560" w:firstLineChars="200"/>
        <w:rPr>
          <w:rFonts w:hint="eastAsia"/>
          <w:sz w:val="28"/>
          <w:szCs w:val="28"/>
        </w:rPr>
      </w:pPr>
      <w:r>
        <w:rPr>
          <w:rFonts w:hint="eastAsia"/>
          <w:sz w:val="28"/>
          <w:szCs w:val="28"/>
        </w:rPr>
        <w:t>依据《关于做好第二批 1+X 证书制度试点工作的通知》（教职成司函〔2019〕89 号）、《关于推进 1+X 证书制度试点工作的指导意见》（教职成厅函〔2019〕19 号）等有关文件要求，我校积极推进证书制度在失智老年人</w:t>
      </w:r>
      <w:r>
        <w:rPr>
          <w:rFonts w:hint="eastAsia"/>
          <w:sz w:val="28"/>
          <w:szCs w:val="28"/>
          <w:lang w:val="en-US" w:eastAsia="zh-CN"/>
        </w:rPr>
        <w:t>照护</w:t>
      </w:r>
      <w:r>
        <w:rPr>
          <w:rFonts w:hint="eastAsia"/>
          <w:sz w:val="28"/>
          <w:szCs w:val="28"/>
        </w:rPr>
        <w:t>、</w:t>
      </w:r>
      <w:r>
        <w:rPr>
          <w:rFonts w:hint="eastAsia"/>
          <w:sz w:val="28"/>
          <w:szCs w:val="28"/>
          <w:lang w:val="en-US" w:eastAsia="zh-CN"/>
        </w:rPr>
        <w:t>老年照护</w:t>
      </w:r>
      <w:r>
        <w:rPr>
          <w:rFonts w:hint="eastAsia"/>
          <w:sz w:val="28"/>
          <w:szCs w:val="28"/>
        </w:rPr>
        <w:t>领域的开展，按照失智老年人</w:t>
      </w:r>
      <w:r>
        <w:rPr>
          <w:rFonts w:hint="eastAsia"/>
          <w:sz w:val="28"/>
          <w:szCs w:val="28"/>
          <w:lang w:val="en-US" w:eastAsia="zh-CN"/>
        </w:rPr>
        <w:t>照护</w:t>
      </w:r>
      <w:r>
        <w:rPr>
          <w:rFonts w:hint="eastAsia"/>
          <w:sz w:val="28"/>
          <w:szCs w:val="28"/>
        </w:rPr>
        <w:t>和</w:t>
      </w:r>
      <w:r>
        <w:rPr>
          <w:rFonts w:hint="eastAsia"/>
          <w:sz w:val="28"/>
          <w:szCs w:val="28"/>
          <w:lang w:val="en-US" w:eastAsia="zh-CN"/>
        </w:rPr>
        <w:t>老年照护</w:t>
      </w:r>
      <w:r>
        <w:rPr>
          <w:rFonts w:hint="eastAsia"/>
          <w:sz w:val="28"/>
          <w:szCs w:val="28"/>
        </w:rPr>
        <w:t>职业技能等级证书试点项目的工作进度要求，我校开展了 1+X 失智老年人</w:t>
      </w:r>
      <w:r>
        <w:rPr>
          <w:rFonts w:hint="eastAsia"/>
          <w:sz w:val="28"/>
          <w:szCs w:val="28"/>
          <w:lang w:val="en-US" w:eastAsia="zh-CN"/>
        </w:rPr>
        <w:t>照护</w:t>
      </w:r>
      <w:r>
        <w:rPr>
          <w:rFonts w:hint="eastAsia"/>
          <w:sz w:val="28"/>
          <w:szCs w:val="28"/>
        </w:rPr>
        <w:t xml:space="preserve">职业技能等级证书和 1+X </w:t>
      </w:r>
      <w:r>
        <w:rPr>
          <w:rFonts w:hint="eastAsia"/>
          <w:sz w:val="28"/>
          <w:szCs w:val="28"/>
          <w:lang w:val="en-US" w:eastAsia="zh-CN"/>
        </w:rPr>
        <w:t>老年</w:t>
      </w:r>
      <w:r>
        <w:rPr>
          <w:rFonts w:hint="eastAsia"/>
          <w:sz w:val="28"/>
          <w:szCs w:val="28"/>
        </w:rPr>
        <w:t>照护职业技能等级证书的教学。</w:t>
      </w:r>
    </w:p>
    <w:p>
      <w:pPr>
        <w:rPr>
          <w:rFonts w:hint="eastAsia" w:eastAsia="宋体"/>
          <w:b/>
          <w:bCs/>
          <w:sz w:val="28"/>
          <w:szCs w:val="28"/>
          <w:lang w:val="en-US" w:eastAsia="zh-CN"/>
        </w:rPr>
      </w:pPr>
      <w:r>
        <w:rPr>
          <w:rFonts w:hint="eastAsia"/>
          <w:b/>
          <w:bCs/>
          <w:sz w:val="28"/>
          <w:szCs w:val="28"/>
          <w:lang w:val="en-US" w:eastAsia="zh-CN"/>
        </w:rPr>
        <w:t>六</w:t>
      </w:r>
      <w:r>
        <w:rPr>
          <w:rFonts w:hint="eastAsia"/>
          <w:b/>
          <w:bCs/>
          <w:sz w:val="28"/>
          <w:szCs w:val="28"/>
        </w:rPr>
        <w:t>、培养</w:t>
      </w:r>
      <w:r>
        <w:rPr>
          <w:rFonts w:hint="eastAsia"/>
          <w:b/>
          <w:bCs/>
          <w:sz w:val="28"/>
          <w:szCs w:val="28"/>
          <w:lang w:val="en-US" w:eastAsia="zh-CN"/>
        </w:rPr>
        <w:t>规格</w:t>
      </w:r>
    </w:p>
    <w:p>
      <w:pPr>
        <w:ind w:firstLine="560" w:firstLineChars="200"/>
        <w:rPr>
          <w:sz w:val="28"/>
          <w:szCs w:val="28"/>
        </w:rPr>
      </w:pPr>
      <w:r>
        <w:rPr>
          <w:rFonts w:hint="eastAsia"/>
          <w:sz w:val="28"/>
          <w:szCs w:val="28"/>
        </w:rPr>
        <w:t>以岗位要求为标准，通过三年的学习和岗位实习，毕业生具有以下素质与能力，并能顺利通过国家护士执业资格考试与1+X职业技能等级证书考试。</w:t>
      </w:r>
    </w:p>
    <w:p>
      <w:pPr>
        <w:ind w:firstLine="560" w:firstLineChars="200"/>
        <w:rPr>
          <w:sz w:val="28"/>
          <w:szCs w:val="28"/>
        </w:rPr>
      </w:pPr>
      <w:r>
        <w:rPr>
          <w:rFonts w:hint="eastAsia"/>
          <w:sz w:val="28"/>
          <w:szCs w:val="28"/>
          <w:lang w:eastAsia="zh-CN"/>
        </w:rPr>
        <w:t>（</w:t>
      </w:r>
      <w:r>
        <w:rPr>
          <w:rFonts w:hint="eastAsia"/>
          <w:sz w:val="28"/>
          <w:szCs w:val="28"/>
        </w:rPr>
        <w:t>一）品德与能力素养</w:t>
      </w:r>
    </w:p>
    <w:p>
      <w:pPr>
        <w:ind w:firstLine="560" w:firstLineChars="200"/>
        <w:rPr>
          <w:sz w:val="28"/>
          <w:szCs w:val="28"/>
        </w:rPr>
      </w:pPr>
      <w:r>
        <w:rPr>
          <w:rFonts w:hint="eastAsia"/>
          <w:sz w:val="28"/>
          <w:szCs w:val="28"/>
        </w:rPr>
        <w:t>1、坚决拥护中国共产党的领导，坚持社会主义道路和方向，树立中国特色社会主义共同理想。</w:t>
      </w:r>
    </w:p>
    <w:p>
      <w:pPr>
        <w:ind w:firstLine="560" w:firstLineChars="200"/>
        <w:rPr>
          <w:sz w:val="28"/>
          <w:szCs w:val="28"/>
        </w:rPr>
      </w:pPr>
      <w:r>
        <w:rPr>
          <w:rFonts w:hint="eastAsia"/>
          <w:sz w:val="28"/>
          <w:szCs w:val="28"/>
        </w:rPr>
        <w:t>2、认同并自觉践行社会主义核心价值观，具有正确的世界观、人生观、价值观。</w:t>
      </w:r>
    </w:p>
    <w:p>
      <w:pPr>
        <w:ind w:firstLine="560" w:firstLineChars="200"/>
        <w:rPr>
          <w:sz w:val="28"/>
          <w:szCs w:val="28"/>
        </w:rPr>
      </w:pPr>
      <w:r>
        <w:rPr>
          <w:rFonts w:hint="eastAsia"/>
          <w:sz w:val="28"/>
          <w:szCs w:val="28"/>
        </w:rPr>
        <w:t>3、维护法制权威，自觉履行护士职业道德行为规范。</w:t>
      </w:r>
    </w:p>
    <w:p>
      <w:pPr>
        <w:ind w:firstLine="560" w:firstLineChars="200"/>
        <w:rPr>
          <w:sz w:val="28"/>
          <w:szCs w:val="28"/>
        </w:rPr>
      </w:pPr>
      <w:r>
        <w:rPr>
          <w:rFonts w:hint="eastAsia"/>
          <w:sz w:val="28"/>
          <w:szCs w:val="28"/>
        </w:rPr>
        <w:t>4、尊重劳动、热爱劳动，具有社会责任感和参与意识，具有较强的实践能力。</w:t>
      </w:r>
    </w:p>
    <w:p>
      <w:pPr>
        <w:ind w:firstLine="560" w:firstLineChars="200"/>
        <w:rPr>
          <w:sz w:val="28"/>
          <w:szCs w:val="28"/>
        </w:rPr>
      </w:pPr>
      <w:r>
        <w:rPr>
          <w:rFonts w:hint="eastAsia"/>
          <w:sz w:val="28"/>
          <w:szCs w:val="28"/>
        </w:rPr>
        <w:t>5、具有服务意识、质量意识、安全意识，尊重患者，给予患者人文关怀，保护其隐私。</w:t>
      </w:r>
    </w:p>
    <w:p>
      <w:pPr>
        <w:ind w:firstLine="560" w:firstLineChars="200"/>
        <w:rPr>
          <w:sz w:val="28"/>
          <w:szCs w:val="28"/>
        </w:rPr>
      </w:pPr>
      <w:r>
        <w:rPr>
          <w:rFonts w:hint="eastAsia"/>
          <w:sz w:val="28"/>
          <w:szCs w:val="28"/>
        </w:rPr>
        <w:t>6、具有较强的集体意识和团队合作精神，能够进行有效的人际沟通和协作。</w:t>
      </w:r>
    </w:p>
    <w:p>
      <w:pPr>
        <w:ind w:firstLine="560" w:firstLineChars="200"/>
        <w:rPr>
          <w:sz w:val="28"/>
          <w:szCs w:val="28"/>
        </w:rPr>
      </w:pPr>
      <w:r>
        <w:rPr>
          <w:rFonts w:hint="eastAsia"/>
          <w:sz w:val="28"/>
          <w:szCs w:val="28"/>
        </w:rPr>
        <w:t>7、具有一丝不苟、追求卓越、精益求精的工匠精神。</w:t>
      </w:r>
    </w:p>
    <w:p>
      <w:pPr>
        <w:ind w:firstLine="560" w:firstLineChars="200"/>
        <w:rPr>
          <w:sz w:val="28"/>
          <w:szCs w:val="28"/>
        </w:rPr>
      </w:pPr>
      <w:r>
        <w:rPr>
          <w:rFonts w:hint="eastAsia"/>
          <w:sz w:val="28"/>
          <w:szCs w:val="28"/>
        </w:rPr>
        <w:t>8、具有一定的创新精神，运用所学知识、信息和技能在专业领域进行发明创造。</w:t>
      </w:r>
    </w:p>
    <w:p>
      <w:pPr>
        <w:ind w:firstLine="560" w:firstLineChars="200"/>
        <w:rPr>
          <w:sz w:val="28"/>
          <w:szCs w:val="28"/>
        </w:rPr>
      </w:pPr>
      <w:r>
        <w:rPr>
          <w:rFonts w:hint="eastAsia"/>
          <w:sz w:val="28"/>
          <w:szCs w:val="28"/>
        </w:rPr>
        <w:t>9、具有健康的体魄和健全的人格；具有感受美、表现美、鉴赏美、创造美的能力；具有较强的自我管理能力，养成良好的生活习惯。</w:t>
      </w:r>
    </w:p>
    <w:p>
      <w:pPr>
        <w:ind w:firstLine="560" w:firstLineChars="200"/>
        <w:rPr>
          <w:sz w:val="28"/>
          <w:szCs w:val="28"/>
        </w:rPr>
      </w:pPr>
      <w:r>
        <w:rPr>
          <w:rFonts w:hint="eastAsia"/>
          <w:sz w:val="28"/>
          <w:szCs w:val="28"/>
        </w:rPr>
        <w:t>10、具有一定的计算机和英语应用能力。</w:t>
      </w:r>
    </w:p>
    <w:p>
      <w:pPr>
        <w:ind w:firstLine="560" w:firstLineChars="200"/>
        <w:rPr>
          <w:sz w:val="28"/>
          <w:szCs w:val="28"/>
        </w:rPr>
      </w:pPr>
      <w:r>
        <w:rPr>
          <w:rFonts w:hint="eastAsia"/>
          <w:sz w:val="28"/>
          <w:szCs w:val="28"/>
        </w:rPr>
        <w:t>（二）护理专业知识和技能</w:t>
      </w:r>
    </w:p>
    <w:p>
      <w:pPr>
        <w:ind w:firstLine="560" w:firstLineChars="200"/>
        <w:rPr>
          <w:sz w:val="28"/>
          <w:szCs w:val="28"/>
        </w:rPr>
      </w:pPr>
      <w:r>
        <w:rPr>
          <w:rFonts w:hint="eastAsia"/>
          <w:sz w:val="28"/>
          <w:szCs w:val="28"/>
        </w:rPr>
        <w:t>1、具有护理专业相关的基础医学知识和技能。</w:t>
      </w:r>
    </w:p>
    <w:p>
      <w:pPr>
        <w:ind w:firstLine="560" w:firstLineChars="200"/>
        <w:rPr>
          <w:sz w:val="28"/>
          <w:szCs w:val="28"/>
        </w:rPr>
      </w:pPr>
      <w:r>
        <w:rPr>
          <w:rFonts w:hint="eastAsia"/>
          <w:sz w:val="28"/>
          <w:szCs w:val="28"/>
        </w:rPr>
        <w:t>2、具有基础护理的理论知识，规范、熟练的护理操作能力。</w:t>
      </w:r>
    </w:p>
    <w:p>
      <w:pPr>
        <w:ind w:firstLine="560" w:firstLineChars="200"/>
        <w:rPr>
          <w:sz w:val="28"/>
          <w:szCs w:val="28"/>
        </w:rPr>
      </w:pPr>
      <w:r>
        <w:rPr>
          <w:rFonts w:hint="eastAsia"/>
          <w:sz w:val="28"/>
          <w:szCs w:val="28"/>
        </w:rPr>
        <w:t>3、具有临床护理基本理论知识，规范的专科护理操作能力。</w:t>
      </w:r>
    </w:p>
    <w:p>
      <w:pPr>
        <w:ind w:firstLine="560" w:firstLineChars="200"/>
        <w:rPr>
          <w:sz w:val="28"/>
          <w:szCs w:val="28"/>
        </w:rPr>
      </w:pPr>
      <w:r>
        <w:rPr>
          <w:rFonts w:hint="eastAsia"/>
          <w:sz w:val="28"/>
          <w:szCs w:val="28"/>
        </w:rPr>
        <w:t>4、具有以护理对象为中心，解决常见护理问题和安全给药的能力。</w:t>
      </w:r>
    </w:p>
    <w:p>
      <w:pPr>
        <w:ind w:firstLine="560" w:firstLineChars="200"/>
        <w:rPr>
          <w:sz w:val="28"/>
          <w:szCs w:val="28"/>
        </w:rPr>
      </w:pPr>
      <w:r>
        <w:rPr>
          <w:rFonts w:hint="eastAsia"/>
          <w:sz w:val="28"/>
          <w:szCs w:val="28"/>
        </w:rPr>
        <w:t>5、具有对护理对象进行健康评估、分析和解决临床常见护理问题的能力。</w:t>
      </w:r>
    </w:p>
    <w:p>
      <w:pPr>
        <w:ind w:firstLine="560" w:firstLineChars="200"/>
        <w:rPr>
          <w:sz w:val="28"/>
          <w:szCs w:val="28"/>
        </w:rPr>
      </w:pPr>
      <w:r>
        <w:rPr>
          <w:rFonts w:hint="eastAsia"/>
          <w:sz w:val="28"/>
          <w:szCs w:val="28"/>
        </w:rPr>
        <w:t>6、具有对护理对象进行病情变化、心理反应和药物疗效的观察能力。</w:t>
      </w:r>
    </w:p>
    <w:p>
      <w:pPr>
        <w:ind w:firstLine="560" w:firstLineChars="200"/>
        <w:rPr>
          <w:sz w:val="28"/>
          <w:szCs w:val="28"/>
        </w:rPr>
      </w:pPr>
      <w:r>
        <w:rPr>
          <w:rFonts w:hint="eastAsia"/>
          <w:sz w:val="28"/>
          <w:szCs w:val="28"/>
        </w:rPr>
        <w:t>7、具有病室和护理对象管理的基本能力。</w:t>
      </w:r>
    </w:p>
    <w:p>
      <w:pPr>
        <w:ind w:firstLine="560" w:firstLineChars="200"/>
        <w:rPr>
          <w:sz w:val="28"/>
          <w:szCs w:val="28"/>
        </w:rPr>
      </w:pPr>
      <w:r>
        <w:rPr>
          <w:rFonts w:hint="eastAsia"/>
          <w:sz w:val="28"/>
          <w:szCs w:val="28"/>
        </w:rPr>
        <w:t>8、具有护理的基本知识和技能，能按照护理工作程序，发现并解决护理问题，评价护理结果。</w:t>
      </w:r>
    </w:p>
    <w:p>
      <w:pPr>
        <w:ind w:firstLine="560" w:firstLineChars="200"/>
        <w:rPr>
          <w:sz w:val="28"/>
          <w:szCs w:val="28"/>
        </w:rPr>
      </w:pPr>
      <w:r>
        <w:rPr>
          <w:rFonts w:hint="eastAsia"/>
          <w:sz w:val="28"/>
          <w:szCs w:val="28"/>
        </w:rPr>
        <w:t>9、具有初步对传染病预防和突发公共卫生事件处理的能力。</w:t>
      </w:r>
    </w:p>
    <w:p>
      <w:pPr>
        <w:ind w:firstLine="560" w:firstLineChars="200"/>
        <w:rPr>
          <w:sz w:val="28"/>
          <w:szCs w:val="28"/>
        </w:rPr>
      </w:pPr>
      <w:r>
        <w:rPr>
          <w:rFonts w:hint="eastAsia"/>
          <w:sz w:val="28"/>
          <w:szCs w:val="28"/>
        </w:rPr>
        <w:t>（三）养老方向专业知识和技能</w:t>
      </w:r>
    </w:p>
    <w:p>
      <w:pPr>
        <w:ind w:firstLine="560" w:firstLineChars="200"/>
        <w:rPr>
          <w:sz w:val="28"/>
          <w:szCs w:val="28"/>
        </w:rPr>
      </w:pPr>
      <w:r>
        <w:rPr>
          <w:rFonts w:hint="eastAsia"/>
          <w:sz w:val="28"/>
          <w:szCs w:val="28"/>
        </w:rPr>
        <w:t>1、熟悉老年人各系统的老化特征和老年人的心理变化特征。</w:t>
      </w:r>
    </w:p>
    <w:p>
      <w:pPr>
        <w:ind w:firstLine="560" w:firstLineChars="200"/>
        <w:rPr>
          <w:sz w:val="28"/>
          <w:szCs w:val="28"/>
        </w:rPr>
      </w:pPr>
      <w:r>
        <w:rPr>
          <w:rFonts w:hint="eastAsia"/>
          <w:sz w:val="28"/>
          <w:szCs w:val="28"/>
        </w:rPr>
        <w:t>2、掌握老年人健康评估的方法和内容。</w:t>
      </w:r>
    </w:p>
    <w:p>
      <w:pPr>
        <w:ind w:firstLine="560" w:firstLineChars="200"/>
        <w:rPr>
          <w:sz w:val="28"/>
          <w:szCs w:val="28"/>
        </w:rPr>
      </w:pPr>
      <w:r>
        <w:rPr>
          <w:rFonts w:hint="eastAsia"/>
          <w:sz w:val="28"/>
          <w:szCs w:val="28"/>
        </w:rPr>
        <w:t>3、掌握老年人的日常生活护理、安全用药原则。</w:t>
      </w:r>
    </w:p>
    <w:p>
      <w:pPr>
        <w:ind w:firstLine="560" w:firstLineChars="200"/>
        <w:rPr>
          <w:sz w:val="28"/>
          <w:szCs w:val="28"/>
        </w:rPr>
      </w:pPr>
      <w:r>
        <w:rPr>
          <w:rFonts w:hint="eastAsia"/>
          <w:sz w:val="28"/>
          <w:szCs w:val="28"/>
        </w:rPr>
        <w:t>4、掌握老年人常见健康问题及护理。</w:t>
      </w:r>
    </w:p>
    <w:p>
      <w:pPr>
        <w:ind w:firstLine="560" w:firstLineChars="200"/>
        <w:rPr>
          <w:sz w:val="28"/>
          <w:szCs w:val="28"/>
        </w:rPr>
      </w:pPr>
      <w:r>
        <w:rPr>
          <w:rFonts w:hint="eastAsia"/>
          <w:sz w:val="28"/>
          <w:szCs w:val="28"/>
        </w:rPr>
        <w:t>5、掌握老年人的临终护理。</w:t>
      </w:r>
    </w:p>
    <w:p>
      <w:pPr>
        <w:ind w:firstLine="560" w:firstLineChars="200"/>
        <w:rPr>
          <w:sz w:val="28"/>
          <w:szCs w:val="28"/>
        </w:rPr>
      </w:pPr>
      <w:r>
        <w:rPr>
          <w:rFonts w:hint="eastAsia"/>
          <w:sz w:val="28"/>
          <w:szCs w:val="28"/>
        </w:rPr>
        <w:t>6、掌握老年各系统常见病的临床特点和护理措施。</w:t>
      </w:r>
    </w:p>
    <w:p>
      <w:pPr>
        <w:ind w:firstLine="560" w:firstLineChars="200"/>
        <w:rPr>
          <w:rFonts w:hint="eastAsia"/>
          <w:b/>
          <w:bCs/>
          <w:sz w:val="28"/>
          <w:szCs w:val="28"/>
        </w:rPr>
      </w:pPr>
      <w:r>
        <w:rPr>
          <w:rFonts w:hint="eastAsia"/>
          <w:sz w:val="28"/>
          <w:szCs w:val="28"/>
        </w:rPr>
        <w:t>7、掌握养老、</w:t>
      </w:r>
      <w:r>
        <w:rPr>
          <w:rFonts w:hint="eastAsia"/>
          <w:sz w:val="28"/>
          <w:szCs w:val="28"/>
          <w:highlight w:val="none"/>
        </w:rPr>
        <w:t>失智老年人</w:t>
      </w:r>
      <w:r>
        <w:rPr>
          <w:rFonts w:hint="eastAsia"/>
          <w:sz w:val="28"/>
          <w:szCs w:val="28"/>
          <w:highlight w:val="none"/>
          <w:lang w:val="en-US" w:eastAsia="zh-CN"/>
        </w:rPr>
        <w:t>照护</w:t>
      </w:r>
      <w:r>
        <w:rPr>
          <w:rFonts w:hint="eastAsia"/>
          <w:sz w:val="28"/>
          <w:szCs w:val="28"/>
          <w:highlight w:val="none"/>
        </w:rPr>
        <w:t>的基本知识</w:t>
      </w:r>
      <w:r>
        <w:rPr>
          <w:rFonts w:hint="eastAsia"/>
          <w:sz w:val="28"/>
          <w:szCs w:val="28"/>
        </w:rPr>
        <w:t>和基本技能。</w:t>
      </w:r>
    </w:p>
    <w:p>
      <w:pPr>
        <w:rPr>
          <w:rFonts w:hint="eastAsia"/>
          <w:b/>
          <w:bCs/>
          <w:sz w:val="28"/>
          <w:szCs w:val="28"/>
          <w:lang w:val="en-US" w:eastAsia="zh-CN"/>
        </w:rPr>
      </w:pPr>
      <w:r>
        <w:rPr>
          <w:rFonts w:hint="eastAsia"/>
          <w:b/>
          <w:bCs/>
          <w:sz w:val="28"/>
          <w:szCs w:val="28"/>
          <w:lang w:val="en-US" w:eastAsia="zh-CN"/>
        </w:rPr>
        <w:t>七</w:t>
      </w:r>
      <w:r>
        <w:rPr>
          <w:rFonts w:hint="eastAsia"/>
          <w:b/>
          <w:bCs/>
          <w:sz w:val="28"/>
          <w:szCs w:val="28"/>
        </w:rPr>
        <w:t>、</w:t>
      </w:r>
      <w:r>
        <w:rPr>
          <w:rFonts w:hint="eastAsia"/>
          <w:b/>
          <w:bCs/>
          <w:sz w:val="28"/>
          <w:szCs w:val="28"/>
          <w:lang w:val="en-US" w:eastAsia="zh-CN"/>
        </w:rPr>
        <w:t>主要续接专业</w:t>
      </w:r>
    </w:p>
    <w:p>
      <w:pPr>
        <w:rPr>
          <w:rFonts w:hint="default"/>
          <w:sz w:val="28"/>
          <w:szCs w:val="28"/>
          <w:lang w:val="en-US" w:eastAsia="zh-CN"/>
        </w:rPr>
      </w:pPr>
      <w:r>
        <w:rPr>
          <w:rFonts w:hint="default"/>
          <w:sz w:val="28"/>
          <w:szCs w:val="28"/>
          <w:lang w:val="en-US" w:eastAsia="zh-CN"/>
        </w:rPr>
        <w:t>高职：护理、助产</w:t>
      </w:r>
    </w:p>
    <w:p>
      <w:pPr>
        <w:rPr>
          <w:rFonts w:hint="default"/>
          <w:b/>
          <w:bCs/>
          <w:sz w:val="28"/>
          <w:szCs w:val="28"/>
          <w:lang w:val="en-US" w:eastAsia="zh-CN"/>
        </w:rPr>
      </w:pPr>
      <w:r>
        <w:rPr>
          <w:rFonts w:hint="default"/>
          <w:sz w:val="28"/>
          <w:szCs w:val="28"/>
          <w:lang w:val="en-US" w:eastAsia="zh-CN"/>
        </w:rPr>
        <w:t>本科：护理学</w:t>
      </w:r>
    </w:p>
    <w:p>
      <w:pPr>
        <w:numPr>
          <w:ilvl w:val="0"/>
          <w:numId w:val="0"/>
        </w:numPr>
        <w:rPr>
          <w:rFonts w:hint="eastAsia"/>
          <w:b/>
          <w:bCs/>
          <w:sz w:val="28"/>
          <w:szCs w:val="28"/>
          <w:lang w:val="en-US" w:eastAsia="zh-CN"/>
        </w:rPr>
      </w:pPr>
      <w:r>
        <w:rPr>
          <w:rFonts w:hint="eastAsia"/>
          <w:b/>
          <w:bCs/>
          <w:sz w:val="28"/>
          <w:szCs w:val="28"/>
          <w:lang w:val="en-US" w:eastAsia="zh-CN"/>
        </w:rPr>
        <w:t>八、课程结构</w:t>
      </w:r>
    </w:p>
    <w:p>
      <w:pPr>
        <w:numPr>
          <w:ilvl w:val="0"/>
          <w:numId w:val="0"/>
        </w:numPr>
      </w:pPr>
      <w:r>
        <w:drawing>
          <wp:inline distT="0" distB="0" distL="114300" distR="114300">
            <wp:extent cx="5248275" cy="513778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48275" cy="5137785"/>
                    </a:xfrm>
                    <a:prstGeom prst="rect">
                      <a:avLst/>
                    </a:prstGeom>
                    <a:noFill/>
                    <a:ln>
                      <a:noFill/>
                    </a:ln>
                  </pic:spPr>
                </pic:pic>
              </a:graphicData>
            </a:graphic>
          </wp:inline>
        </w:drawing>
      </w:r>
    </w:p>
    <w:p>
      <w:pPr>
        <w:rPr>
          <w:rFonts w:hint="eastAsia"/>
          <w:b/>
          <w:bCs/>
          <w:sz w:val="28"/>
          <w:szCs w:val="28"/>
          <w:lang w:val="en-US" w:eastAsia="zh-CN"/>
        </w:rPr>
      </w:pPr>
    </w:p>
    <w:p>
      <w:pPr>
        <w:rPr>
          <w:b/>
          <w:bCs/>
          <w:sz w:val="28"/>
          <w:szCs w:val="28"/>
        </w:rPr>
      </w:pPr>
      <w:r>
        <w:rPr>
          <w:rFonts w:hint="eastAsia"/>
          <w:b/>
          <w:bCs/>
          <w:sz w:val="28"/>
          <w:szCs w:val="28"/>
          <w:lang w:val="en-US" w:eastAsia="zh-CN"/>
        </w:rPr>
        <w:t>九</w:t>
      </w:r>
      <w:r>
        <w:rPr>
          <w:rFonts w:hint="eastAsia"/>
          <w:b/>
          <w:bCs/>
          <w:sz w:val="28"/>
          <w:szCs w:val="28"/>
        </w:rPr>
        <w:t>、课程设置及要求</w:t>
      </w:r>
    </w:p>
    <w:p>
      <w:pPr>
        <w:ind w:firstLine="560" w:firstLineChars="200"/>
        <w:rPr>
          <w:sz w:val="28"/>
          <w:szCs w:val="28"/>
        </w:rPr>
      </w:pPr>
      <w:r>
        <w:rPr>
          <w:rFonts w:hint="eastAsia"/>
          <w:sz w:val="28"/>
          <w:szCs w:val="28"/>
        </w:rPr>
        <w:t>本专业课程设置分为公共基础课程和专业技能课程。</w:t>
      </w:r>
    </w:p>
    <w:p>
      <w:pPr>
        <w:ind w:firstLine="560" w:firstLineChars="200"/>
        <w:rPr>
          <w:sz w:val="28"/>
          <w:szCs w:val="28"/>
        </w:rPr>
      </w:pPr>
      <w:r>
        <w:rPr>
          <w:rFonts w:hint="eastAsia"/>
          <w:sz w:val="28"/>
          <w:szCs w:val="28"/>
        </w:rPr>
        <w:t>（一）公共基础课程</w:t>
      </w:r>
    </w:p>
    <w:p>
      <w:pPr>
        <w:ind w:firstLine="560" w:firstLineChars="200"/>
        <w:rPr>
          <w:rFonts w:hint="eastAsia"/>
          <w:sz w:val="28"/>
          <w:szCs w:val="28"/>
        </w:rPr>
      </w:pPr>
      <w:r>
        <w:rPr>
          <w:rFonts w:hint="eastAsia"/>
          <w:sz w:val="28"/>
          <w:szCs w:val="28"/>
        </w:rPr>
        <w:t>包括思政课、文化课、体育与健康、劳动课等公共基础必修课以及其他自然科学和人文科学类公共基础选修课。</w:t>
      </w:r>
    </w:p>
    <w:tbl>
      <w:tblPr>
        <w:tblStyle w:val="7"/>
        <w:tblpPr w:leftFromText="180" w:rightFromText="180" w:vertAnchor="text" w:horzAnchor="page" w:tblpX="1903" w:tblpY="619"/>
        <w:tblOverlap w:val="never"/>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21"/>
        <w:gridCol w:w="4820"/>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4" w:type="dxa"/>
            <w:vAlign w:val="center"/>
          </w:tcPr>
          <w:p>
            <w:pPr>
              <w:rPr>
                <w:rFonts w:cs="Times New Roman"/>
                <w:kern w:val="0"/>
                <w:sz w:val="20"/>
                <w:szCs w:val="20"/>
              </w:rPr>
            </w:pPr>
            <w:r>
              <w:rPr>
                <w:rFonts w:hint="eastAsia" w:cs="Times New Roman"/>
                <w:kern w:val="0"/>
                <w:sz w:val="20"/>
                <w:szCs w:val="20"/>
              </w:rPr>
              <w:t>序号</w:t>
            </w:r>
          </w:p>
        </w:tc>
        <w:tc>
          <w:tcPr>
            <w:tcW w:w="1621" w:type="dxa"/>
            <w:vAlign w:val="center"/>
          </w:tcPr>
          <w:p>
            <w:pPr>
              <w:jc w:val="center"/>
              <w:rPr>
                <w:rFonts w:cs="Times New Roman"/>
                <w:kern w:val="0"/>
                <w:sz w:val="20"/>
                <w:szCs w:val="20"/>
              </w:rPr>
            </w:pPr>
            <w:r>
              <w:rPr>
                <w:rFonts w:hint="eastAsia" w:cs="Times New Roman"/>
                <w:kern w:val="0"/>
                <w:sz w:val="20"/>
                <w:szCs w:val="20"/>
              </w:rPr>
              <w:t>课程名称</w:t>
            </w:r>
          </w:p>
        </w:tc>
        <w:tc>
          <w:tcPr>
            <w:tcW w:w="4820" w:type="dxa"/>
            <w:vAlign w:val="center"/>
          </w:tcPr>
          <w:p>
            <w:pPr>
              <w:jc w:val="center"/>
              <w:rPr>
                <w:rFonts w:cs="Times New Roman"/>
                <w:kern w:val="0"/>
                <w:sz w:val="20"/>
                <w:szCs w:val="20"/>
              </w:rPr>
            </w:pPr>
            <w:r>
              <w:rPr>
                <w:rFonts w:hint="eastAsia" w:cs="Times New Roman"/>
                <w:kern w:val="0"/>
                <w:sz w:val="20"/>
                <w:szCs w:val="20"/>
              </w:rPr>
              <w:t>课程目标、主要教学内容和要求</w:t>
            </w:r>
          </w:p>
        </w:tc>
        <w:tc>
          <w:tcPr>
            <w:tcW w:w="1059" w:type="dxa"/>
            <w:vAlign w:val="center"/>
          </w:tcPr>
          <w:p>
            <w:pPr>
              <w:rPr>
                <w:rFonts w:cs="Times New Roman"/>
                <w:kern w:val="0"/>
                <w:sz w:val="20"/>
                <w:szCs w:val="20"/>
              </w:rPr>
            </w:pPr>
            <w:r>
              <w:rPr>
                <w:rFonts w:hint="eastAsia" w:cs="Times New Roman"/>
                <w:kern w:val="0"/>
                <w:sz w:val="20"/>
                <w:szCs w:val="20"/>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1</w:t>
            </w:r>
          </w:p>
        </w:tc>
        <w:tc>
          <w:tcPr>
            <w:tcW w:w="1621" w:type="dxa"/>
            <w:vAlign w:val="center"/>
          </w:tcPr>
          <w:p>
            <w:pPr>
              <w:jc w:val="center"/>
              <w:rPr>
                <w:rFonts w:cs="Times New Roman"/>
                <w:color w:val="FF0000"/>
                <w:kern w:val="0"/>
                <w:sz w:val="20"/>
                <w:szCs w:val="20"/>
              </w:rPr>
            </w:pPr>
            <w:r>
              <w:rPr>
                <w:rFonts w:hint="eastAsia" w:cs="Times New Roman"/>
                <w:kern w:val="0"/>
                <w:sz w:val="20"/>
                <w:szCs w:val="20"/>
              </w:rPr>
              <w:t>职业生涯规划</w:t>
            </w:r>
          </w:p>
        </w:tc>
        <w:tc>
          <w:tcPr>
            <w:tcW w:w="4820" w:type="dxa"/>
            <w:vAlign w:val="center"/>
          </w:tcPr>
          <w:p>
            <w:pPr>
              <w:ind w:firstLine="400" w:firstLineChars="200"/>
              <w:jc w:val="left"/>
              <w:rPr>
                <w:rFonts w:cs="Times New Roman"/>
                <w:color w:val="FF0000"/>
                <w:kern w:val="0"/>
                <w:sz w:val="20"/>
                <w:szCs w:val="20"/>
              </w:rPr>
            </w:pPr>
            <w:r>
              <w:rPr>
                <w:rFonts w:hint="eastAsia" w:cs="Times New Roman"/>
                <w:kern w:val="0"/>
                <w:sz w:val="20"/>
                <w:szCs w:val="20"/>
              </w:rPr>
              <w:t>依据《中等职业学校职业生涯规划教学大纲》开设，并与专业实际和行业发展密切结合。使学生掌握职业和职业规划的基本知识；培养学生的职业意识与思维，使学生深刻认识职业生涯规划的重要性，把握环境与时代发展趋势，结合中职学生的身心特点确定职业方向与目标，不断引导根据自身的变化情况调整自己，做好职业发展规划，掌握职场技巧；增强提高职业素质和职业能力的自觉性，树立正确的职业理想和职业观、择业观、创业观及成才观。</w:t>
            </w:r>
          </w:p>
        </w:tc>
        <w:tc>
          <w:tcPr>
            <w:tcW w:w="1059" w:type="dxa"/>
            <w:vAlign w:val="center"/>
          </w:tcPr>
          <w:p>
            <w:pPr>
              <w:jc w:val="center"/>
              <w:rPr>
                <w:rFonts w:hint="eastAsia" w:eastAsia="宋体" w:cs="Times New Roman"/>
                <w:kern w:val="0"/>
                <w:sz w:val="20"/>
                <w:szCs w:val="20"/>
                <w:lang w:val="en-US" w:eastAsia="zh-CN"/>
              </w:rPr>
            </w:pPr>
            <w:r>
              <w:rPr>
                <w:rFonts w:cs="Times New Roman"/>
                <w:kern w:val="0"/>
                <w:sz w:val="20"/>
                <w:szCs w:val="20"/>
              </w:rPr>
              <w:t>3</w:t>
            </w:r>
            <w:r>
              <w:rPr>
                <w:rFonts w:hint="eastAsia" w:cs="Times New Roman"/>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2</w:t>
            </w:r>
          </w:p>
        </w:tc>
        <w:tc>
          <w:tcPr>
            <w:tcW w:w="1621" w:type="dxa"/>
            <w:vAlign w:val="center"/>
          </w:tcPr>
          <w:p>
            <w:pPr>
              <w:jc w:val="center"/>
              <w:rPr>
                <w:rFonts w:cs="Times New Roman"/>
                <w:kern w:val="0"/>
                <w:sz w:val="20"/>
                <w:szCs w:val="20"/>
              </w:rPr>
            </w:pPr>
            <w:r>
              <w:rPr>
                <w:rFonts w:hint="eastAsia" w:cs="Times New Roman"/>
                <w:kern w:val="0"/>
                <w:sz w:val="20"/>
                <w:szCs w:val="20"/>
              </w:rPr>
              <w:t>职业道德与法律</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依据《中等职业学校职业道德与法律教学大纲》开设，并与专业实际和行业发展密切结合。帮助学生了解文明礼仪的基本要求、职业道德的作用和基本规范，陶冶道德情操，增强职业道德意识，养成职业道德行为习惯，塑造完美职业人格；指导学生掌握与日常生活和职业活动密切相关的法律常识，树立法治观念，增强法律意识，学会依法开展各种民商事活动，运用法律维护自身合法权益，与违法犯罪行为作斗争，成为知法、懂法、守法、用法的公民。</w:t>
            </w:r>
          </w:p>
        </w:tc>
        <w:tc>
          <w:tcPr>
            <w:tcW w:w="1059" w:type="dxa"/>
            <w:vAlign w:val="center"/>
          </w:tcPr>
          <w:p>
            <w:pPr>
              <w:jc w:val="center"/>
              <w:rPr>
                <w:rFonts w:hint="eastAsia" w:eastAsia="宋体" w:cs="Times New Roman"/>
                <w:kern w:val="0"/>
                <w:sz w:val="20"/>
                <w:szCs w:val="20"/>
                <w:lang w:val="en-US" w:eastAsia="zh-CN"/>
              </w:rPr>
            </w:pPr>
            <w:r>
              <w:rPr>
                <w:rFonts w:cs="Times New Roman"/>
                <w:kern w:val="0"/>
                <w:sz w:val="20"/>
                <w:szCs w:val="20"/>
              </w:rPr>
              <w:t>3</w:t>
            </w:r>
            <w:r>
              <w:rPr>
                <w:rFonts w:hint="eastAsia" w:cs="Times New Roman"/>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3</w:t>
            </w:r>
          </w:p>
        </w:tc>
        <w:tc>
          <w:tcPr>
            <w:tcW w:w="1621" w:type="dxa"/>
            <w:vAlign w:val="center"/>
          </w:tcPr>
          <w:p>
            <w:pPr>
              <w:jc w:val="center"/>
              <w:rPr>
                <w:rFonts w:cs="Times New Roman"/>
                <w:color w:val="FF0000"/>
                <w:kern w:val="0"/>
                <w:sz w:val="20"/>
                <w:szCs w:val="20"/>
              </w:rPr>
            </w:pPr>
            <w:r>
              <w:rPr>
                <w:rFonts w:hint="eastAsia" w:cs="Times New Roman"/>
                <w:kern w:val="0"/>
                <w:sz w:val="20"/>
                <w:szCs w:val="20"/>
              </w:rPr>
              <w:t>经济政治与社会</w:t>
            </w:r>
          </w:p>
        </w:tc>
        <w:tc>
          <w:tcPr>
            <w:tcW w:w="4820" w:type="dxa"/>
            <w:vAlign w:val="center"/>
          </w:tcPr>
          <w:p>
            <w:pPr>
              <w:ind w:firstLine="400" w:firstLineChars="200"/>
              <w:jc w:val="left"/>
              <w:rPr>
                <w:rFonts w:cs="Times New Roman"/>
                <w:color w:val="FF0000"/>
                <w:kern w:val="0"/>
                <w:sz w:val="20"/>
                <w:szCs w:val="20"/>
              </w:rPr>
            </w:pPr>
            <w:r>
              <w:rPr>
                <w:rFonts w:hint="eastAsia" w:cs="Times New Roman"/>
                <w:kern w:val="0"/>
                <w:sz w:val="20"/>
                <w:szCs w:val="20"/>
              </w:rPr>
              <w:t>依据《中等职业学校思想政治课程标准》开设，并与专业实际和行业发展密切结合。对学生进行我国社会主义经济、政治、文化与社会建设常识教育，使学生认同我国的经济、政治制度，了解所处的文化和社会环境；树立中国特色社会主义共同理想，坚定走中国特色社会主义道路的信念，提高辨析社会现象、主动参与社会生活的能力，积极投身我国经济、政治、文化、社会建设。</w:t>
            </w:r>
          </w:p>
        </w:tc>
        <w:tc>
          <w:tcPr>
            <w:tcW w:w="1059" w:type="dxa"/>
            <w:vAlign w:val="center"/>
          </w:tcPr>
          <w:p>
            <w:pPr>
              <w:jc w:val="center"/>
              <w:rPr>
                <w:rFonts w:hint="eastAsia" w:eastAsia="宋体" w:cs="Times New Roman"/>
                <w:kern w:val="0"/>
                <w:sz w:val="20"/>
                <w:szCs w:val="20"/>
                <w:lang w:val="en-US" w:eastAsia="zh-CN"/>
              </w:rPr>
            </w:pPr>
            <w:r>
              <w:rPr>
                <w:rFonts w:cs="Times New Roman"/>
                <w:kern w:val="0"/>
                <w:sz w:val="20"/>
                <w:szCs w:val="20"/>
              </w:rPr>
              <w:t>3</w:t>
            </w:r>
            <w:r>
              <w:rPr>
                <w:rFonts w:hint="eastAsia" w:cs="Times New Roman"/>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4</w:t>
            </w:r>
          </w:p>
        </w:tc>
        <w:tc>
          <w:tcPr>
            <w:tcW w:w="1621" w:type="dxa"/>
            <w:vAlign w:val="center"/>
          </w:tcPr>
          <w:p>
            <w:pPr>
              <w:jc w:val="center"/>
              <w:rPr>
                <w:rFonts w:cs="Times New Roman"/>
                <w:kern w:val="0"/>
                <w:sz w:val="20"/>
                <w:szCs w:val="20"/>
              </w:rPr>
            </w:pPr>
            <w:r>
              <w:rPr>
                <w:rFonts w:hint="eastAsia" w:cs="Times New Roman"/>
                <w:kern w:val="0"/>
                <w:sz w:val="20"/>
                <w:szCs w:val="20"/>
              </w:rPr>
              <w:t>哲学与人生</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依据《中等职业学校哲学与人生教学大纲》开设，并与专业实际和行业发展密切结合。对学生进行马克思主义哲学基本观点和方法论教育，引导学生了解马克思主义哲学中与人生发展关系密切的基础知识，学会运用辩证唯物主义和历史唯物主义的观点和方法，正确看待自然、社会的发展，正确认识和处理人生发展中的基本问题，树立和追求崇高理想，逐步形成正确的世界观、人生观和价值观，为人生的健康发展奠定思想基础。</w:t>
            </w:r>
          </w:p>
        </w:tc>
        <w:tc>
          <w:tcPr>
            <w:tcW w:w="1059" w:type="dxa"/>
            <w:vAlign w:val="center"/>
          </w:tcPr>
          <w:p>
            <w:pPr>
              <w:jc w:val="center"/>
              <w:rPr>
                <w:rFonts w:hint="eastAsia" w:eastAsia="宋体" w:cs="Times New Roman"/>
                <w:kern w:val="0"/>
                <w:sz w:val="20"/>
                <w:szCs w:val="20"/>
                <w:lang w:val="en-US" w:eastAsia="zh-CN"/>
              </w:rPr>
            </w:pPr>
            <w:r>
              <w:rPr>
                <w:rFonts w:cs="Times New Roman"/>
                <w:kern w:val="0"/>
                <w:sz w:val="20"/>
                <w:szCs w:val="20"/>
              </w:rPr>
              <w:t>3</w:t>
            </w:r>
            <w:r>
              <w:rPr>
                <w:rFonts w:hint="eastAsia" w:cs="Times New Roman"/>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5</w:t>
            </w:r>
          </w:p>
        </w:tc>
        <w:tc>
          <w:tcPr>
            <w:tcW w:w="1621" w:type="dxa"/>
            <w:vAlign w:val="center"/>
          </w:tcPr>
          <w:p>
            <w:pPr>
              <w:jc w:val="center"/>
              <w:rPr>
                <w:rFonts w:cs="Times New Roman"/>
                <w:kern w:val="0"/>
                <w:sz w:val="20"/>
                <w:szCs w:val="20"/>
              </w:rPr>
            </w:pPr>
            <w:r>
              <w:rPr>
                <w:rFonts w:hint="eastAsia" w:cs="Times New Roman"/>
                <w:kern w:val="0"/>
                <w:sz w:val="20"/>
                <w:szCs w:val="20"/>
              </w:rPr>
              <w:t>语文</w:t>
            </w:r>
          </w:p>
        </w:tc>
        <w:tc>
          <w:tcPr>
            <w:tcW w:w="4820" w:type="dxa"/>
            <w:vAlign w:val="center"/>
          </w:tcPr>
          <w:p>
            <w:pPr>
              <w:ind w:firstLine="400" w:firstLineChars="200"/>
              <w:jc w:val="left"/>
              <w:rPr>
                <w:rFonts w:cs="Times New Roman"/>
                <w:kern w:val="0"/>
                <w:sz w:val="20"/>
                <w:szCs w:val="20"/>
              </w:rPr>
            </w:pPr>
            <w:r>
              <w:rPr>
                <w:rFonts w:cs="Times New Roman"/>
                <w:kern w:val="0"/>
                <w:sz w:val="20"/>
                <w:szCs w:val="20"/>
              </w:rPr>
              <w:t>依据《中等职业学校语文教学大纲》开设，</w:t>
            </w:r>
            <w:r>
              <w:rPr>
                <w:rFonts w:hint="eastAsia" w:cs="Times New Roman"/>
                <w:kern w:val="0"/>
                <w:sz w:val="20"/>
                <w:szCs w:val="20"/>
              </w:rPr>
              <w:t>并注重在职业模块的教学内容中体现专业特色。</w:t>
            </w:r>
            <w:r>
              <w:rPr>
                <w:rFonts w:cs="Times New Roman"/>
                <w:kern w:val="0"/>
                <w:sz w:val="20"/>
                <w:szCs w:val="20"/>
              </w:rPr>
              <w:t>注重培养学生基本技能的训练和思维发展，加强语文实践，培养语文的应用能力，为综合职业能力的形成以及继续学习奠定基础</w:t>
            </w:r>
            <w:r>
              <w:rPr>
                <w:rFonts w:hint="eastAsia" w:cs="Times New Roman"/>
                <w:kern w:val="0"/>
                <w:sz w:val="20"/>
                <w:szCs w:val="20"/>
              </w:rPr>
              <w:t>，同时</w:t>
            </w:r>
            <w:r>
              <w:rPr>
                <w:rFonts w:cs="Times New Roman"/>
                <w:kern w:val="0"/>
                <w:sz w:val="20"/>
                <w:szCs w:val="20"/>
              </w:rPr>
              <w:t>提高学生的思想道德修养和科学文化素养</w:t>
            </w:r>
            <w:r>
              <w:rPr>
                <w:rFonts w:hint="eastAsia" w:cs="Times New Roman"/>
                <w:kern w:val="0"/>
                <w:sz w:val="20"/>
                <w:szCs w:val="20"/>
              </w:rPr>
              <w:t>，</w:t>
            </w:r>
            <w:r>
              <w:rPr>
                <w:rFonts w:cs="Times New Roman"/>
                <w:kern w:val="0"/>
                <w:sz w:val="20"/>
                <w:szCs w:val="20"/>
              </w:rPr>
              <w:t>为培养高素质劳动者服务。</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6</w:t>
            </w:r>
          </w:p>
        </w:tc>
        <w:tc>
          <w:tcPr>
            <w:tcW w:w="1621" w:type="dxa"/>
            <w:vAlign w:val="center"/>
          </w:tcPr>
          <w:p>
            <w:pPr>
              <w:jc w:val="center"/>
              <w:rPr>
                <w:rFonts w:cs="Times New Roman"/>
                <w:kern w:val="0"/>
                <w:sz w:val="20"/>
                <w:szCs w:val="20"/>
              </w:rPr>
            </w:pPr>
            <w:r>
              <w:rPr>
                <w:rFonts w:hint="eastAsia" w:cs="Times New Roman"/>
                <w:kern w:val="0"/>
                <w:sz w:val="20"/>
                <w:szCs w:val="20"/>
              </w:rPr>
              <w:t>数学</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依据《中等职业学校数学教学大纲》开设，并注重在职业模块的教学内容中体现专业特色。培养学生的思维能力，使学生掌握</w:t>
            </w:r>
            <w:r>
              <w:rPr>
                <w:rFonts w:cs="Times New Roman"/>
                <w:kern w:val="0"/>
                <w:sz w:val="20"/>
                <w:szCs w:val="20"/>
              </w:rPr>
              <w:t>必要的</w:t>
            </w:r>
            <w:r>
              <w:rPr>
                <w:rFonts w:hint="eastAsia" w:cs="Times New Roman"/>
                <w:kern w:val="0"/>
                <w:sz w:val="20"/>
                <w:szCs w:val="20"/>
              </w:rPr>
              <w:t>文化</w:t>
            </w:r>
            <w:r>
              <w:rPr>
                <w:rFonts w:cs="Times New Roman"/>
                <w:kern w:val="0"/>
                <w:sz w:val="20"/>
                <w:szCs w:val="20"/>
              </w:rPr>
              <w:t>基础知识，为学习专业知识、掌握职业技能、继续学习和终身发展奠定基础。</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7</w:t>
            </w:r>
          </w:p>
        </w:tc>
        <w:tc>
          <w:tcPr>
            <w:tcW w:w="1621" w:type="dxa"/>
            <w:vAlign w:val="center"/>
          </w:tcPr>
          <w:p>
            <w:pPr>
              <w:jc w:val="center"/>
              <w:rPr>
                <w:rFonts w:cs="Times New Roman"/>
                <w:kern w:val="0"/>
                <w:sz w:val="20"/>
                <w:szCs w:val="20"/>
              </w:rPr>
            </w:pPr>
            <w:r>
              <w:rPr>
                <w:rFonts w:hint="eastAsia" w:cs="Times New Roman"/>
                <w:kern w:val="0"/>
                <w:sz w:val="20"/>
                <w:szCs w:val="20"/>
              </w:rPr>
              <w:t>英语</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依据《中等职业学校英语教学大纲》开设，并注重在职业模块的教学内容中体现专业特色。</w:t>
            </w:r>
            <w:r>
              <w:rPr>
                <w:rFonts w:cs="Times New Roman"/>
                <w:kern w:val="0"/>
                <w:sz w:val="20"/>
                <w:szCs w:val="20"/>
              </w:rPr>
              <w:t>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8</w:t>
            </w:r>
          </w:p>
        </w:tc>
        <w:tc>
          <w:tcPr>
            <w:tcW w:w="1621" w:type="dxa"/>
            <w:vAlign w:val="center"/>
          </w:tcPr>
          <w:p>
            <w:pPr>
              <w:jc w:val="center"/>
              <w:rPr>
                <w:rFonts w:cs="Times New Roman"/>
                <w:kern w:val="0"/>
                <w:sz w:val="20"/>
                <w:szCs w:val="20"/>
              </w:rPr>
            </w:pPr>
            <w:r>
              <w:rPr>
                <w:rFonts w:hint="eastAsia" w:cs="Times New Roman"/>
                <w:kern w:val="0"/>
                <w:sz w:val="20"/>
                <w:szCs w:val="20"/>
              </w:rPr>
              <w:t>计算机应用基础</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依据《中等职业学校计算机应用基础教学大纲》开设，并注重在职业模块的教学内容中体现专业特色。</w:t>
            </w:r>
            <w:r>
              <w:rPr>
                <w:rFonts w:cs="Times New Roman"/>
                <w:kern w:val="0"/>
                <w:sz w:val="20"/>
                <w:szCs w:val="20"/>
              </w:rPr>
              <w:t>使学生掌握必备的计算机应用基础知识和基本技能，培养学生应用计算机解决工作与生活中实际问题的能力，为其职业生涯发展和终身学习奠定基础</w:t>
            </w:r>
            <w:r>
              <w:rPr>
                <w:rFonts w:hint="eastAsia" w:cs="Times New Roman"/>
                <w:kern w:val="0"/>
                <w:sz w:val="20"/>
                <w:szCs w:val="20"/>
              </w:rPr>
              <w:t>，同时</w:t>
            </w:r>
            <w:r>
              <w:rPr>
                <w:rFonts w:cs="Times New Roman"/>
                <w:kern w:val="0"/>
                <w:sz w:val="20"/>
                <w:szCs w:val="20"/>
              </w:rPr>
              <w:t>提升学生的信息素养，使学生了解并遵守相关法律法规、信息道德及信息安全准则，培养学生成为信息社会的合格公民。</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9</w:t>
            </w:r>
          </w:p>
        </w:tc>
        <w:tc>
          <w:tcPr>
            <w:tcW w:w="1621" w:type="dxa"/>
            <w:vAlign w:val="center"/>
          </w:tcPr>
          <w:p>
            <w:pPr>
              <w:jc w:val="center"/>
              <w:rPr>
                <w:rFonts w:cs="Times New Roman"/>
                <w:kern w:val="0"/>
                <w:sz w:val="20"/>
                <w:szCs w:val="20"/>
              </w:rPr>
            </w:pPr>
            <w:r>
              <w:rPr>
                <w:rFonts w:hint="eastAsia" w:cs="Times New Roman"/>
                <w:kern w:val="0"/>
                <w:sz w:val="20"/>
                <w:szCs w:val="20"/>
              </w:rPr>
              <w:t>体育与健康</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依据《中等职业学校体育与健康教学大纲》开设，并与专业实际和行业发展密切结合。</w:t>
            </w:r>
            <w:r>
              <w:rPr>
                <w:rFonts w:cs="Times New Roman"/>
                <w:kern w:val="0"/>
                <w:sz w:val="20"/>
                <w:szCs w:val="20"/>
              </w:rPr>
              <w:t>传授体育与健康的基本文化知识、体育技能和方法，通过科学指导和安排体育锻炼过程，培养学生的健康人格、增强体能素质、提高综合职业能力，养成终身从事体育锻炼的意识、能力与习惯，提高生活质量，为全面促进学生身体健康、心理健康和社会适应能力服务。</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default" w:cs="Times New Roman"/>
                <w:kern w:val="0"/>
                <w:sz w:val="20"/>
                <w:szCs w:val="20"/>
                <w:lang w:val="en-US" w:eastAsia="zh-CN"/>
              </w:rPr>
            </w:pPr>
            <w:r>
              <w:rPr>
                <w:rFonts w:hint="eastAsia" w:cs="Times New Roman"/>
                <w:kern w:val="0"/>
                <w:sz w:val="20"/>
                <w:szCs w:val="20"/>
                <w:lang w:val="en-US" w:eastAsia="zh-CN"/>
              </w:rPr>
              <w:t>10</w:t>
            </w:r>
          </w:p>
        </w:tc>
        <w:tc>
          <w:tcPr>
            <w:tcW w:w="1621" w:type="dxa"/>
            <w:vAlign w:val="center"/>
          </w:tcPr>
          <w:p>
            <w:pPr>
              <w:jc w:val="center"/>
              <w:rPr>
                <w:rFonts w:hint="default" w:cs="Times New Roman"/>
                <w:kern w:val="0"/>
                <w:sz w:val="20"/>
                <w:szCs w:val="20"/>
                <w:lang w:val="en-US" w:eastAsia="zh-CN"/>
              </w:rPr>
            </w:pPr>
            <w:r>
              <w:rPr>
                <w:rFonts w:hint="eastAsia" w:cs="Times New Roman"/>
                <w:kern w:val="0"/>
                <w:sz w:val="20"/>
                <w:szCs w:val="20"/>
                <w:lang w:val="en-US" w:eastAsia="zh-CN"/>
              </w:rPr>
              <w:t>公共艺术</w:t>
            </w:r>
          </w:p>
        </w:tc>
        <w:tc>
          <w:tcPr>
            <w:tcW w:w="4820" w:type="dxa"/>
            <w:vAlign w:val="center"/>
          </w:tcPr>
          <w:p>
            <w:pPr>
              <w:ind w:firstLine="400" w:firstLineChars="200"/>
              <w:jc w:val="left"/>
              <w:rPr>
                <w:rFonts w:hint="eastAsia" w:eastAsia="宋体" w:cs="Times New Roman"/>
                <w:kern w:val="0"/>
                <w:sz w:val="20"/>
                <w:szCs w:val="20"/>
                <w:lang w:val="en-US" w:eastAsia="zh-CN"/>
              </w:rPr>
            </w:pPr>
            <w:r>
              <w:rPr>
                <w:rFonts w:hint="eastAsia" w:cs="Times New Roman"/>
                <w:kern w:val="0"/>
                <w:sz w:val="20"/>
                <w:szCs w:val="20"/>
              </w:rPr>
              <w:t>依据《中等职业学校公共艺术教学大纲》开设，并与专业实际和行业发展密切结合</w:t>
            </w:r>
            <w:r>
              <w:rPr>
                <w:rFonts w:hint="eastAsia" w:cs="Times New Roman"/>
                <w:kern w:val="0"/>
                <w:sz w:val="20"/>
                <w:szCs w:val="20"/>
                <w:lang w:eastAsia="zh-CN"/>
              </w:rPr>
              <w:t>。使学生们能较系统地把握马克思主义关于艺术的基本原理、原则，作为艺术创作者从理论上认识艺术的本质，特性及艺术发生的客观规律，从宏观上把握艺术审美的特点和规律，进而树立健康向上的艺术观、价值观、人生观和世界观，培养学生运用科学的美学观分析和解决艺术实践当中所遇到的问题，激发对艺术学习的历史责任感，使学生们的艺术创作更有自觉性，更有思想性，更有创新性，为中国的艺术发展做出贡献。</w:t>
            </w:r>
          </w:p>
        </w:tc>
        <w:tc>
          <w:tcPr>
            <w:tcW w:w="1059" w:type="dxa"/>
            <w:vAlign w:val="center"/>
          </w:tcPr>
          <w:p>
            <w:pPr>
              <w:jc w:val="center"/>
              <w:rPr>
                <w:rFonts w:hint="default" w:cs="Times New Roman"/>
                <w:kern w:val="0"/>
                <w:sz w:val="20"/>
                <w:szCs w:val="20"/>
                <w:lang w:val="en-US" w:eastAsia="zh-CN"/>
              </w:rPr>
            </w:pPr>
            <w:r>
              <w:rPr>
                <w:rFonts w:hint="eastAsia" w:cs="Times New Roman"/>
                <w:kern w:val="0"/>
                <w:sz w:val="20"/>
                <w:szCs w:val="20"/>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11</w:t>
            </w:r>
          </w:p>
        </w:tc>
        <w:tc>
          <w:tcPr>
            <w:tcW w:w="1621" w:type="dxa"/>
            <w:vAlign w:val="center"/>
          </w:tcPr>
          <w:p>
            <w:pPr>
              <w:jc w:val="center"/>
              <w:rPr>
                <w:rFonts w:hint="eastAsia" w:eastAsia="宋体" w:cs="Times New Roman"/>
                <w:kern w:val="0"/>
                <w:sz w:val="20"/>
                <w:szCs w:val="20"/>
                <w:lang w:val="en-US" w:eastAsia="zh-CN"/>
              </w:rPr>
            </w:pPr>
            <w:r>
              <w:rPr>
                <w:rFonts w:hint="eastAsia" w:cs="Times New Roman"/>
                <w:kern w:val="0"/>
                <w:sz w:val="20"/>
                <w:szCs w:val="20"/>
                <w:lang w:val="en-US" w:eastAsia="zh-CN"/>
              </w:rPr>
              <w:t>历史</w:t>
            </w:r>
          </w:p>
        </w:tc>
        <w:tc>
          <w:tcPr>
            <w:tcW w:w="4820" w:type="dxa"/>
            <w:vAlign w:val="center"/>
          </w:tcPr>
          <w:p>
            <w:pPr>
              <w:ind w:firstLine="400" w:firstLineChars="200"/>
              <w:jc w:val="left"/>
              <w:rPr>
                <w:rFonts w:hint="eastAsia" w:eastAsia="宋体" w:cs="Times New Roman"/>
                <w:kern w:val="0"/>
                <w:sz w:val="20"/>
                <w:szCs w:val="20"/>
                <w:lang w:eastAsia="zh-CN"/>
              </w:rPr>
            </w:pPr>
            <w:r>
              <w:rPr>
                <w:rFonts w:hint="eastAsia" w:cs="Times New Roman"/>
                <w:kern w:val="0"/>
                <w:sz w:val="20"/>
                <w:szCs w:val="20"/>
              </w:rPr>
              <w:t>依据《中等职业学校历史教学大纲》开设，并与专业实际和行业发展密切结合</w:t>
            </w:r>
            <w:r>
              <w:rPr>
                <w:rFonts w:hint="eastAsia" w:cs="Times New Roman"/>
                <w:kern w:val="0"/>
                <w:sz w:val="20"/>
                <w:szCs w:val="20"/>
                <w:lang w:eastAsia="zh-CN"/>
              </w:rPr>
              <w:t>。</w:t>
            </w:r>
            <w:r>
              <w:rPr>
                <w:rFonts w:hint="eastAsia" w:cs="Times New Roman"/>
                <w:kern w:val="0"/>
                <w:sz w:val="20"/>
                <w:szCs w:val="20"/>
                <w:lang w:val="en-US" w:eastAsia="zh-CN"/>
              </w:rPr>
              <w:t>使学生</w:t>
            </w:r>
            <w:r>
              <w:rPr>
                <w:rFonts w:hint="eastAsia" w:cs="Times New Roman"/>
                <w:kern w:val="0"/>
                <w:sz w:val="20"/>
                <w:szCs w:val="20"/>
                <w:lang w:eastAsia="zh-CN"/>
              </w:rPr>
              <w:t>学会从历史的角度观察和思考社会与人生，从历史中汲取智慧，逐步树立正确的世界观、人生观和价值观，提高综合素质，得到全面发展。</w:t>
            </w:r>
          </w:p>
        </w:tc>
        <w:tc>
          <w:tcPr>
            <w:tcW w:w="1059" w:type="dxa"/>
            <w:vAlign w:val="center"/>
          </w:tcPr>
          <w:p>
            <w:pPr>
              <w:jc w:val="center"/>
              <w:rPr>
                <w:rFonts w:hint="default" w:cs="Times New Roman"/>
                <w:kern w:val="0"/>
                <w:sz w:val="20"/>
                <w:szCs w:val="20"/>
                <w:lang w:val="en-US" w:eastAsia="zh-CN"/>
              </w:rPr>
            </w:pPr>
            <w:r>
              <w:rPr>
                <w:rFonts w:hint="eastAsia" w:cs="Times New Roman"/>
                <w:kern w:val="0"/>
                <w:sz w:val="20"/>
                <w:szCs w:val="20"/>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eastAsia" w:eastAsia="宋体" w:cs="Times New Roman"/>
                <w:kern w:val="0"/>
                <w:sz w:val="20"/>
                <w:szCs w:val="20"/>
                <w:lang w:val="en-US" w:eastAsia="zh-CN"/>
              </w:rPr>
            </w:pPr>
            <w:r>
              <w:rPr>
                <w:rFonts w:hint="eastAsia" w:cs="Times New Roman"/>
                <w:kern w:val="0"/>
                <w:sz w:val="20"/>
                <w:szCs w:val="20"/>
              </w:rPr>
              <w:t>1</w:t>
            </w:r>
            <w:r>
              <w:rPr>
                <w:rFonts w:hint="eastAsia" w:cs="Times New Roman"/>
                <w:kern w:val="0"/>
                <w:sz w:val="20"/>
                <w:szCs w:val="20"/>
                <w:lang w:val="en-US" w:eastAsia="zh-CN"/>
              </w:rPr>
              <w:t>2</w:t>
            </w:r>
          </w:p>
        </w:tc>
        <w:tc>
          <w:tcPr>
            <w:tcW w:w="1621" w:type="dxa"/>
            <w:vAlign w:val="center"/>
          </w:tcPr>
          <w:p>
            <w:pPr>
              <w:jc w:val="center"/>
              <w:rPr>
                <w:rFonts w:cs="Times New Roman"/>
                <w:kern w:val="0"/>
                <w:sz w:val="20"/>
                <w:szCs w:val="20"/>
              </w:rPr>
            </w:pPr>
            <w:r>
              <w:rPr>
                <w:rFonts w:hint="eastAsia" w:cs="Times New Roman"/>
                <w:kern w:val="0"/>
                <w:sz w:val="20"/>
                <w:szCs w:val="20"/>
              </w:rPr>
              <w:t>劳动课</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根据《关于全面加新时代大中小学劳动教育的意见》开设。通过劳动培养学生“以辛勤劳动为荣、以好逸恶劳为耻”的价值观念，帮助学生理解并形成马克思主义劳动观，明白幸福是由劳动创造的现实意义；增加学生的职业荣誉感，提高工作积极性，帮助学生正视客观环境，做好人生规划，达成幸福人生。</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eastAsia" w:eastAsia="宋体" w:cs="Times New Roman"/>
                <w:kern w:val="0"/>
                <w:sz w:val="20"/>
                <w:szCs w:val="20"/>
                <w:lang w:val="en-US" w:eastAsia="zh-CN"/>
              </w:rPr>
            </w:pPr>
            <w:r>
              <w:rPr>
                <w:rFonts w:cs="Times New Roman"/>
                <w:kern w:val="0"/>
                <w:sz w:val="20"/>
                <w:szCs w:val="20"/>
              </w:rPr>
              <w:t>1</w:t>
            </w:r>
            <w:r>
              <w:rPr>
                <w:rFonts w:hint="eastAsia" w:cs="Times New Roman"/>
                <w:kern w:val="0"/>
                <w:sz w:val="20"/>
                <w:szCs w:val="20"/>
                <w:lang w:val="en-US" w:eastAsia="zh-CN"/>
              </w:rPr>
              <w:t>3</w:t>
            </w:r>
          </w:p>
        </w:tc>
        <w:tc>
          <w:tcPr>
            <w:tcW w:w="1621" w:type="dxa"/>
            <w:vAlign w:val="center"/>
          </w:tcPr>
          <w:p>
            <w:pPr>
              <w:jc w:val="center"/>
              <w:rPr>
                <w:rFonts w:cs="Times New Roman"/>
                <w:kern w:val="0"/>
                <w:sz w:val="20"/>
                <w:szCs w:val="20"/>
              </w:rPr>
            </w:pPr>
            <w:r>
              <w:rPr>
                <w:rFonts w:hint="eastAsia" w:cs="Times New Roman"/>
                <w:kern w:val="0"/>
                <w:sz w:val="20"/>
                <w:szCs w:val="20"/>
              </w:rPr>
              <w:t>工匠精神</w:t>
            </w:r>
          </w:p>
        </w:tc>
        <w:tc>
          <w:tcPr>
            <w:tcW w:w="4820" w:type="dxa"/>
            <w:vAlign w:val="center"/>
          </w:tcPr>
          <w:p>
            <w:pPr>
              <w:ind w:firstLine="400" w:firstLineChars="200"/>
              <w:jc w:val="left"/>
              <w:rPr>
                <w:rFonts w:cs="Times New Roman"/>
                <w:kern w:val="0"/>
                <w:sz w:val="20"/>
                <w:szCs w:val="20"/>
              </w:rPr>
            </w:pPr>
            <w:r>
              <w:rPr>
                <w:rFonts w:hint="eastAsia" w:cs="Times New Roman"/>
                <w:kern w:val="0"/>
                <w:sz w:val="20"/>
                <w:szCs w:val="20"/>
              </w:rPr>
              <w:t>根据《关于全面加新时代大中小学劳动教育的意见》开设专题教育。以“育匠人，筑匠心”为主题，通过对当代“大国工匠”故事的深入解读，培养学生正确认知、感悟工匠精神的能力；结合综合实训和岗位实习，在产教融合中自觉践行工匠精神。</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eastAsia" w:eastAsia="宋体" w:cs="Times New Roman"/>
                <w:kern w:val="0"/>
                <w:sz w:val="20"/>
                <w:szCs w:val="20"/>
                <w:lang w:val="en-US" w:eastAsia="zh-CN"/>
              </w:rPr>
            </w:pPr>
            <w:r>
              <w:rPr>
                <w:rFonts w:cs="Times New Roman"/>
                <w:kern w:val="0"/>
                <w:sz w:val="20"/>
                <w:szCs w:val="20"/>
              </w:rPr>
              <w:t>1</w:t>
            </w:r>
            <w:r>
              <w:rPr>
                <w:rFonts w:hint="eastAsia" w:cs="Times New Roman"/>
                <w:kern w:val="0"/>
                <w:sz w:val="20"/>
                <w:szCs w:val="20"/>
                <w:lang w:val="en-US" w:eastAsia="zh-CN"/>
              </w:rPr>
              <w:t>4</w:t>
            </w:r>
          </w:p>
        </w:tc>
        <w:tc>
          <w:tcPr>
            <w:tcW w:w="1621" w:type="dxa"/>
            <w:vAlign w:val="center"/>
          </w:tcPr>
          <w:p>
            <w:pPr>
              <w:jc w:val="center"/>
              <w:rPr>
                <w:rFonts w:cs="Times New Roman"/>
                <w:kern w:val="0"/>
                <w:sz w:val="20"/>
                <w:szCs w:val="20"/>
              </w:rPr>
            </w:pPr>
            <w:r>
              <w:rPr>
                <w:rFonts w:hint="eastAsia" w:ascii="宋体" w:hAnsi="宋体" w:cs="宋体"/>
                <w:kern w:val="0"/>
                <w:sz w:val="20"/>
                <w:szCs w:val="21"/>
              </w:rPr>
              <w:t>化学</w:t>
            </w:r>
          </w:p>
        </w:tc>
        <w:tc>
          <w:tcPr>
            <w:tcW w:w="4820" w:type="dxa"/>
            <w:vAlign w:val="center"/>
          </w:tcPr>
          <w:p>
            <w:pPr>
              <w:ind w:firstLine="400" w:firstLineChars="200"/>
              <w:jc w:val="left"/>
              <w:rPr>
                <w:rFonts w:cs="Times New Roman"/>
                <w:kern w:val="0"/>
                <w:sz w:val="20"/>
                <w:szCs w:val="20"/>
              </w:rPr>
            </w:pPr>
            <w:r>
              <w:rPr>
                <w:rFonts w:hint="eastAsia" w:ascii="宋体" w:hAnsi="宋体" w:cs="宋体"/>
                <w:color w:val="231F20"/>
                <w:kern w:val="0"/>
                <w:sz w:val="20"/>
                <w:szCs w:val="21"/>
              </w:rPr>
              <w:t>依据《中等职业学校化学基础教学大纲》开设，并注重在职业模块的教学内容中体现专业特色。</w:t>
            </w:r>
            <w:r>
              <w:rPr>
                <w:rFonts w:hint="eastAsia" w:cs="Times New Roman"/>
                <w:kern w:val="0"/>
                <w:sz w:val="20"/>
                <w:szCs w:val="21"/>
              </w:rPr>
              <w:t>掌握洗涤和使用普通玻璃仪器，取样，称量，溶解，配制和稀释溶液，测定溶液酸碱性，使用容量分析仪器进行物质含量的测定等的操作技能；熟悉有关无机和有机化合物的理化性质、主要化学反应等知识；能完成本专业相关岗位的工作任务。</w:t>
            </w:r>
          </w:p>
        </w:tc>
        <w:tc>
          <w:tcPr>
            <w:tcW w:w="105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36</w:t>
            </w:r>
          </w:p>
        </w:tc>
      </w:tr>
    </w:tbl>
    <w:p>
      <w:pPr>
        <w:ind w:firstLine="560" w:firstLineChars="200"/>
        <w:rPr>
          <w:sz w:val="28"/>
          <w:szCs w:val="28"/>
        </w:rPr>
      </w:pPr>
    </w:p>
    <w:p>
      <w:pPr>
        <w:ind w:firstLine="560" w:firstLineChars="200"/>
        <w:rPr>
          <w:sz w:val="28"/>
          <w:szCs w:val="28"/>
        </w:rPr>
      </w:pPr>
      <w:r>
        <w:rPr>
          <w:rFonts w:hint="eastAsia"/>
          <w:sz w:val="28"/>
          <w:szCs w:val="28"/>
        </w:rPr>
        <w:t>（二）专业（技能）课程</w:t>
      </w:r>
    </w:p>
    <w:p>
      <w:pPr>
        <w:ind w:firstLine="560" w:firstLineChars="200"/>
        <w:rPr>
          <w:sz w:val="28"/>
          <w:szCs w:val="28"/>
        </w:rPr>
      </w:pPr>
      <w:r>
        <w:rPr>
          <w:rFonts w:hint="eastAsia"/>
          <w:sz w:val="28"/>
          <w:szCs w:val="28"/>
        </w:rPr>
        <w:t>包括专业基础必修课、专业核心必修课和专业选修课，实习实训是专业技能课教学的重要内容，含校内外实训、毕业实习等多种形式。</w:t>
      </w:r>
    </w:p>
    <w:tbl>
      <w:tblPr>
        <w:tblStyle w:val="7"/>
        <w:tblpPr w:leftFromText="180" w:rightFromText="180" w:vertAnchor="text" w:horzAnchor="page" w:tblpX="1903" w:tblpY="619"/>
        <w:tblOverlap w:val="never"/>
        <w:tblW w:w="8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79"/>
        <w:gridCol w:w="480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4" w:type="dxa"/>
            <w:vAlign w:val="center"/>
          </w:tcPr>
          <w:p>
            <w:pPr>
              <w:jc w:val="center"/>
              <w:rPr>
                <w:rFonts w:cs="Times New Roman"/>
                <w:kern w:val="0"/>
                <w:sz w:val="24"/>
                <w:szCs w:val="24"/>
              </w:rPr>
            </w:pPr>
            <w:bookmarkStart w:id="0" w:name="_Hlk72869023"/>
            <w:r>
              <w:rPr>
                <w:rFonts w:hint="eastAsia" w:cs="Times New Roman"/>
                <w:kern w:val="0"/>
                <w:sz w:val="24"/>
                <w:szCs w:val="24"/>
              </w:rPr>
              <w:t>序号</w:t>
            </w:r>
          </w:p>
        </w:tc>
        <w:tc>
          <w:tcPr>
            <w:tcW w:w="1479" w:type="dxa"/>
            <w:vAlign w:val="center"/>
          </w:tcPr>
          <w:p>
            <w:pPr>
              <w:jc w:val="center"/>
              <w:rPr>
                <w:rFonts w:cs="Times New Roman"/>
                <w:kern w:val="0"/>
                <w:sz w:val="24"/>
                <w:szCs w:val="24"/>
              </w:rPr>
            </w:pPr>
            <w:r>
              <w:rPr>
                <w:rFonts w:hint="eastAsia" w:cs="Times New Roman"/>
                <w:kern w:val="0"/>
                <w:sz w:val="24"/>
                <w:szCs w:val="24"/>
              </w:rPr>
              <w:t>课程名称</w:t>
            </w:r>
          </w:p>
        </w:tc>
        <w:tc>
          <w:tcPr>
            <w:tcW w:w="4804" w:type="dxa"/>
            <w:vAlign w:val="center"/>
          </w:tcPr>
          <w:p>
            <w:pPr>
              <w:jc w:val="center"/>
              <w:rPr>
                <w:rFonts w:cs="Times New Roman"/>
                <w:kern w:val="0"/>
                <w:sz w:val="24"/>
                <w:szCs w:val="24"/>
              </w:rPr>
            </w:pPr>
            <w:r>
              <w:rPr>
                <w:rFonts w:hint="eastAsia" w:cs="Times New Roman"/>
                <w:kern w:val="0"/>
                <w:sz w:val="24"/>
                <w:szCs w:val="24"/>
                <w:lang w:val="en-US" w:eastAsia="zh-CN"/>
              </w:rPr>
              <w:t>课程目标、</w:t>
            </w:r>
            <w:r>
              <w:rPr>
                <w:rFonts w:hint="eastAsia" w:cs="Times New Roman"/>
                <w:kern w:val="0"/>
                <w:sz w:val="24"/>
                <w:szCs w:val="24"/>
              </w:rPr>
              <w:t>主要教学内容和要求</w:t>
            </w:r>
          </w:p>
        </w:tc>
        <w:tc>
          <w:tcPr>
            <w:tcW w:w="1217" w:type="dxa"/>
            <w:vAlign w:val="center"/>
          </w:tcPr>
          <w:p>
            <w:pPr>
              <w:jc w:val="center"/>
              <w:rPr>
                <w:rFonts w:cs="Times New Roman"/>
                <w:kern w:val="0"/>
                <w:sz w:val="24"/>
                <w:szCs w:val="24"/>
              </w:rPr>
            </w:pPr>
            <w:r>
              <w:rPr>
                <w:rFonts w:hint="eastAsia" w:cs="Times New Roman"/>
                <w:kern w:val="0"/>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hint="eastAsia" w:cs="Times New Roman"/>
                <w:kern w:val="0"/>
                <w:sz w:val="20"/>
                <w:szCs w:val="20"/>
              </w:rPr>
              <w:t>1</w:t>
            </w:r>
          </w:p>
        </w:tc>
        <w:tc>
          <w:tcPr>
            <w:tcW w:w="1479" w:type="dxa"/>
            <w:vAlign w:val="center"/>
          </w:tcPr>
          <w:p>
            <w:pPr>
              <w:jc w:val="center"/>
              <w:rPr>
                <w:rFonts w:cs="Times New Roman"/>
                <w:kern w:val="0"/>
                <w:sz w:val="20"/>
                <w:szCs w:val="20"/>
              </w:rPr>
            </w:pPr>
            <w:r>
              <w:rPr>
                <w:rFonts w:hint="eastAsia" w:cs="Times New Roman"/>
                <w:kern w:val="0"/>
                <w:sz w:val="20"/>
                <w:szCs w:val="20"/>
              </w:rPr>
              <w:t>解剖学基础</w:t>
            </w:r>
          </w:p>
        </w:tc>
        <w:tc>
          <w:tcPr>
            <w:tcW w:w="4804" w:type="dxa"/>
          </w:tcPr>
          <w:p>
            <w:pPr>
              <w:pStyle w:val="12"/>
              <w:spacing w:before="2"/>
              <w:ind w:left="107" w:firstLine="400" w:firstLineChars="200"/>
              <w:rPr>
                <w:kern w:val="0"/>
                <w:sz w:val="20"/>
                <w:szCs w:val="20"/>
              </w:rPr>
            </w:pPr>
            <w:r>
              <w:rPr>
                <w:kern w:val="0"/>
                <w:sz w:val="20"/>
                <w:szCs w:val="20"/>
              </w:rPr>
              <w:t>了解人体胚胎发育概况，熟悉正常人体的组织结构，掌握正常人体的组成、各系统主要器官的形态和位置，能识别各系统主要器官的形态、结构，能规范地进行基本实践操作，会运用解剖学基本知识分析、解释临床问题</w:t>
            </w:r>
          </w:p>
        </w:tc>
        <w:tc>
          <w:tcPr>
            <w:tcW w:w="1217" w:type="dxa"/>
            <w:vAlign w:val="center"/>
          </w:tcPr>
          <w:p>
            <w:pPr>
              <w:jc w:val="center"/>
              <w:rPr>
                <w:rFonts w:cs="Times New Roman"/>
                <w:kern w:val="0"/>
                <w:sz w:val="20"/>
                <w:szCs w:val="20"/>
              </w:rPr>
            </w:pPr>
            <w:r>
              <w:rPr>
                <w:rFonts w:cs="Times New Roman"/>
                <w:kern w:val="0"/>
                <w:sz w:val="20"/>
                <w:szCs w:val="2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2</w:t>
            </w:r>
          </w:p>
        </w:tc>
        <w:tc>
          <w:tcPr>
            <w:tcW w:w="1479" w:type="dxa"/>
            <w:vAlign w:val="center"/>
          </w:tcPr>
          <w:p>
            <w:pPr>
              <w:jc w:val="center"/>
              <w:rPr>
                <w:rFonts w:cs="Times New Roman"/>
                <w:color w:val="FF0000"/>
                <w:kern w:val="0"/>
                <w:sz w:val="20"/>
                <w:szCs w:val="20"/>
              </w:rPr>
            </w:pPr>
            <w:r>
              <w:rPr>
                <w:rFonts w:cs="Times New Roman"/>
                <w:kern w:val="0"/>
                <w:sz w:val="20"/>
                <w:szCs w:val="20"/>
              </w:rPr>
              <w:t>生理学基础</w:t>
            </w:r>
          </w:p>
        </w:tc>
        <w:tc>
          <w:tcPr>
            <w:tcW w:w="4804" w:type="dxa"/>
          </w:tcPr>
          <w:p>
            <w:pPr>
              <w:pStyle w:val="12"/>
              <w:spacing w:before="3" w:line="242" w:lineRule="auto"/>
              <w:ind w:left="107" w:right="205" w:firstLine="400" w:firstLineChars="200"/>
              <w:rPr>
                <w:color w:val="FF0000"/>
                <w:kern w:val="0"/>
                <w:sz w:val="20"/>
                <w:szCs w:val="20"/>
                <w:lang w:val="en-US"/>
              </w:rPr>
            </w:pPr>
            <w:r>
              <w:rPr>
                <w:kern w:val="0"/>
                <w:sz w:val="20"/>
                <w:szCs w:val="20"/>
              </w:rPr>
              <w:t>了解生理学的研究内容和任务，掌握人体及其各器官系统的主要生理功能，能运用生理学知识解释各种生理现象，为学习护理专业知识奠定理论基础</w:t>
            </w:r>
          </w:p>
        </w:tc>
        <w:tc>
          <w:tcPr>
            <w:tcW w:w="1217" w:type="dxa"/>
            <w:vAlign w:val="center"/>
          </w:tcPr>
          <w:p>
            <w:pPr>
              <w:jc w:val="center"/>
              <w:rPr>
                <w:rFonts w:hint="eastAsia" w:eastAsia="宋体" w:cs="Times New Roman"/>
                <w:kern w:val="0"/>
                <w:sz w:val="20"/>
                <w:szCs w:val="20"/>
                <w:lang w:val="en-US" w:eastAsia="zh-CN"/>
              </w:rPr>
            </w:pPr>
            <w:r>
              <w:rPr>
                <w:rFonts w:hint="eastAsia" w:cs="Times New Roman"/>
                <w:kern w:val="0"/>
                <w:sz w:val="20"/>
                <w:szCs w:val="20"/>
              </w:rPr>
              <w:t>5</w:t>
            </w:r>
            <w:r>
              <w:rPr>
                <w:rFonts w:hint="eastAsia" w:cs="Times New Roman"/>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3</w:t>
            </w:r>
          </w:p>
        </w:tc>
        <w:tc>
          <w:tcPr>
            <w:tcW w:w="1479" w:type="dxa"/>
            <w:vAlign w:val="center"/>
          </w:tcPr>
          <w:p>
            <w:pPr>
              <w:jc w:val="center"/>
              <w:rPr>
                <w:rFonts w:cs="Times New Roman"/>
                <w:kern w:val="0"/>
                <w:sz w:val="20"/>
                <w:szCs w:val="20"/>
              </w:rPr>
            </w:pPr>
            <w:r>
              <w:rPr>
                <w:rFonts w:cs="Times New Roman"/>
                <w:kern w:val="0"/>
                <w:sz w:val="20"/>
                <w:szCs w:val="20"/>
              </w:rPr>
              <w:t>药物学基础</w:t>
            </w:r>
          </w:p>
        </w:tc>
        <w:tc>
          <w:tcPr>
            <w:tcW w:w="4804" w:type="dxa"/>
          </w:tcPr>
          <w:p>
            <w:pPr>
              <w:pStyle w:val="12"/>
              <w:spacing w:before="2" w:line="242" w:lineRule="auto"/>
              <w:ind w:left="107" w:right="88" w:firstLine="400" w:firstLineChars="200"/>
              <w:rPr>
                <w:kern w:val="0"/>
                <w:sz w:val="20"/>
                <w:szCs w:val="20"/>
                <w:lang w:val="en-US"/>
              </w:rPr>
            </w:pPr>
            <w:r>
              <w:rPr>
                <w:kern w:val="0"/>
                <w:sz w:val="20"/>
                <w:szCs w:val="20"/>
              </w:rPr>
              <w:t>掌握临床常用药物的作用，用途，药物不良反应的基本知识，能观察药物疗效和不良反应，能对常见疾病非处方药物进行用药指导和药物咨询，具有对常用药物制剂进行外观检查、查阅药物相互作用、检索配伍禁忌与准确换算药物剂量的能力，初步具备药物应用过程的护理技能</w:t>
            </w:r>
          </w:p>
        </w:tc>
        <w:tc>
          <w:tcPr>
            <w:tcW w:w="1217" w:type="dxa"/>
            <w:vAlign w:val="center"/>
          </w:tcPr>
          <w:p>
            <w:pPr>
              <w:jc w:val="center"/>
              <w:rPr>
                <w:rFonts w:hint="eastAsia" w:eastAsia="宋体" w:cs="Times New Roman"/>
                <w:kern w:val="0"/>
                <w:sz w:val="20"/>
                <w:szCs w:val="20"/>
                <w:lang w:val="en-US" w:eastAsia="zh-CN"/>
              </w:rPr>
            </w:pPr>
            <w:r>
              <w:rPr>
                <w:rFonts w:cs="Times New Roman"/>
                <w:kern w:val="0"/>
                <w:sz w:val="20"/>
                <w:szCs w:val="20"/>
              </w:rPr>
              <w:t>7</w:t>
            </w:r>
            <w:r>
              <w:rPr>
                <w:rFonts w:hint="eastAsia" w:cs="Times New Roman"/>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4</w:t>
            </w:r>
          </w:p>
        </w:tc>
        <w:tc>
          <w:tcPr>
            <w:tcW w:w="1479" w:type="dxa"/>
            <w:vAlign w:val="center"/>
          </w:tcPr>
          <w:p>
            <w:pPr>
              <w:jc w:val="center"/>
              <w:rPr>
                <w:rFonts w:hint="default" w:eastAsia="宋体" w:cs="Times New Roman"/>
                <w:kern w:val="0"/>
                <w:sz w:val="20"/>
                <w:szCs w:val="20"/>
                <w:lang w:val="en-US" w:eastAsia="zh-CN"/>
              </w:rPr>
            </w:pPr>
            <w:r>
              <w:rPr>
                <w:rFonts w:cs="Times New Roman"/>
                <w:kern w:val="0"/>
                <w:sz w:val="20"/>
                <w:szCs w:val="20"/>
              </w:rPr>
              <w:t>护理学基础</w:t>
            </w:r>
            <w:r>
              <w:rPr>
                <w:rFonts w:hint="eastAsia" w:cs="Times New Roman"/>
                <w:kern w:val="0"/>
                <w:sz w:val="20"/>
                <w:szCs w:val="20"/>
                <w:lang w:eastAsia="zh-CN"/>
              </w:rPr>
              <w:t>（</w:t>
            </w:r>
            <w:r>
              <w:rPr>
                <w:rFonts w:hint="eastAsia" w:cs="Times New Roman"/>
                <w:kern w:val="0"/>
                <w:sz w:val="20"/>
                <w:szCs w:val="20"/>
                <w:lang w:val="en-US" w:eastAsia="zh-CN"/>
              </w:rPr>
              <w:t>含老年照护/失智老年人照护）</w:t>
            </w:r>
          </w:p>
        </w:tc>
        <w:tc>
          <w:tcPr>
            <w:tcW w:w="4804" w:type="dxa"/>
          </w:tcPr>
          <w:p>
            <w:pPr>
              <w:pStyle w:val="12"/>
              <w:spacing w:before="2" w:line="242" w:lineRule="auto"/>
              <w:ind w:left="107" w:right="95" w:firstLine="400" w:firstLineChars="200"/>
              <w:rPr>
                <w:kern w:val="0"/>
                <w:sz w:val="20"/>
                <w:szCs w:val="20"/>
                <w:lang w:val="en-US"/>
              </w:rPr>
            </w:pPr>
            <w:r>
              <w:rPr>
                <w:kern w:val="0"/>
                <w:sz w:val="20"/>
                <w:szCs w:val="20"/>
              </w:rPr>
              <w:t>熟悉护理的基本概念，初步掌握护理的基本理论，确立以护理对象为中心的护理理念，能应用护理程序指导实践，掌握基础护理技术操作方</w:t>
            </w:r>
            <w:r>
              <w:rPr>
                <w:spacing w:val="-3"/>
                <w:kern w:val="0"/>
                <w:sz w:val="20"/>
                <w:szCs w:val="20"/>
              </w:rPr>
              <w:t>法，能规范、熟练地进行各项基础护理技术操作，</w:t>
            </w:r>
            <w:r>
              <w:rPr>
                <w:kern w:val="0"/>
                <w:sz w:val="20"/>
                <w:szCs w:val="20"/>
              </w:rPr>
              <w:t>能正确书写护理医疗文件，</w:t>
            </w:r>
            <w:r>
              <w:rPr>
                <w:rFonts w:hint="eastAsia"/>
                <w:kern w:val="0"/>
                <w:sz w:val="20"/>
                <w:szCs w:val="20"/>
              </w:rPr>
              <w:t>能对技能方向对应的</w:t>
            </w:r>
            <w:r>
              <w:rPr>
                <w:kern w:val="0"/>
                <w:sz w:val="20"/>
                <w:szCs w:val="20"/>
              </w:rPr>
              <w:t>常见护理问题</w:t>
            </w:r>
            <w:r>
              <w:rPr>
                <w:rFonts w:hint="eastAsia"/>
                <w:kern w:val="0"/>
                <w:sz w:val="20"/>
                <w:szCs w:val="20"/>
              </w:rPr>
              <w:t>进行</w:t>
            </w:r>
            <w:r>
              <w:rPr>
                <w:kern w:val="0"/>
                <w:sz w:val="20"/>
                <w:szCs w:val="20"/>
              </w:rPr>
              <w:t>初步分析和解决</w:t>
            </w:r>
            <w:r>
              <w:rPr>
                <w:rFonts w:hint="eastAsia"/>
                <w:kern w:val="0"/>
                <w:sz w:val="20"/>
                <w:szCs w:val="20"/>
              </w:rPr>
              <w:t>。</w:t>
            </w:r>
            <w:r>
              <w:rPr>
                <w:rFonts w:hint="eastAsia" w:ascii="Times New Roman" w:hAnsi="Times New Roman" w:cs="Times New Roman"/>
                <w:kern w:val="0"/>
                <w:sz w:val="20"/>
                <w:szCs w:val="20"/>
                <w:lang w:val="en-US" w:eastAsia="zh-CN" w:bidi="ar-SA"/>
              </w:rPr>
              <w:t>掌握1+X老年照护</w:t>
            </w:r>
            <w:r>
              <w:rPr>
                <w:rFonts w:hint="eastAsia" w:ascii="Times New Roman" w:hAnsi="Times New Roman" w:eastAsia="宋体" w:cs="Times New Roman"/>
                <w:kern w:val="0"/>
                <w:sz w:val="20"/>
                <w:szCs w:val="20"/>
                <w:lang w:val="en-US" w:eastAsia="zh-CN" w:bidi="ar-SA"/>
              </w:rPr>
              <w:t>、失智老年人</w:t>
            </w:r>
            <w:r>
              <w:rPr>
                <w:rFonts w:hint="eastAsia" w:ascii="Times New Roman" w:hAnsi="Times New Roman" w:cs="Times New Roman"/>
                <w:kern w:val="0"/>
                <w:sz w:val="20"/>
                <w:szCs w:val="20"/>
                <w:lang w:val="en-US" w:eastAsia="zh-CN" w:bidi="ar-SA"/>
              </w:rPr>
              <w:t>照护</w:t>
            </w:r>
            <w:r>
              <w:rPr>
                <w:rFonts w:hint="eastAsia" w:ascii="Times New Roman" w:hAnsi="Times New Roman" w:eastAsia="宋体" w:cs="Times New Roman"/>
                <w:kern w:val="0"/>
                <w:sz w:val="20"/>
                <w:szCs w:val="20"/>
                <w:lang w:val="en-US" w:eastAsia="zh-CN" w:bidi="ar-SA"/>
              </w:rPr>
              <w:t>的基本知识和技能</w:t>
            </w:r>
            <w:r>
              <w:rPr>
                <w:rFonts w:hint="eastAsia" w:ascii="Times New Roman" w:hAnsi="Times New Roman" w:cs="Times New Roman"/>
                <w:kern w:val="0"/>
                <w:sz w:val="20"/>
                <w:szCs w:val="20"/>
                <w:lang w:val="en-US" w:eastAsia="zh-CN" w:bidi="ar-SA"/>
              </w:rPr>
              <w:t>，能熟练运用专业知识为老年人提供生活照料和基础护理</w:t>
            </w:r>
            <w:r>
              <w:rPr>
                <w:rFonts w:hint="eastAsia" w:ascii="Times New Roman" w:hAnsi="Times New Roman" w:eastAsia="宋体" w:cs="Times New Roman"/>
                <w:kern w:val="0"/>
                <w:sz w:val="20"/>
                <w:szCs w:val="20"/>
                <w:lang w:val="en-US" w:eastAsia="zh-CN" w:bidi="ar-SA"/>
              </w:rPr>
              <w:t>。</w:t>
            </w:r>
          </w:p>
        </w:tc>
        <w:tc>
          <w:tcPr>
            <w:tcW w:w="1217"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rPr>
              <w:t>2</w:t>
            </w:r>
            <w:r>
              <w:rPr>
                <w:rFonts w:hint="eastAsia" w:cs="Times New Roman"/>
                <w:kern w:val="0"/>
                <w:sz w:val="20"/>
                <w:szCs w:val="20"/>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5</w:t>
            </w:r>
          </w:p>
        </w:tc>
        <w:tc>
          <w:tcPr>
            <w:tcW w:w="1479" w:type="dxa"/>
            <w:vAlign w:val="center"/>
          </w:tcPr>
          <w:p>
            <w:pPr>
              <w:jc w:val="center"/>
              <w:rPr>
                <w:rFonts w:cs="Times New Roman"/>
                <w:kern w:val="0"/>
                <w:sz w:val="20"/>
                <w:szCs w:val="20"/>
              </w:rPr>
            </w:pPr>
            <w:r>
              <w:rPr>
                <w:rFonts w:cs="Times New Roman"/>
                <w:kern w:val="0"/>
                <w:sz w:val="20"/>
                <w:szCs w:val="20"/>
              </w:rPr>
              <w:t>健康评估</w:t>
            </w:r>
          </w:p>
        </w:tc>
        <w:tc>
          <w:tcPr>
            <w:tcW w:w="4804" w:type="dxa"/>
          </w:tcPr>
          <w:p>
            <w:pPr>
              <w:pStyle w:val="12"/>
              <w:spacing w:before="1" w:line="242" w:lineRule="auto"/>
              <w:ind w:left="107" w:right="205" w:firstLine="400" w:firstLineChars="200"/>
              <w:rPr>
                <w:kern w:val="0"/>
                <w:sz w:val="20"/>
                <w:szCs w:val="20"/>
                <w:lang w:val="en-US"/>
              </w:rPr>
            </w:pPr>
            <w:r>
              <w:rPr>
                <w:kern w:val="0"/>
                <w:sz w:val="20"/>
                <w:szCs w:val="20"/>
              </w:rPr>
              <w:t>了解心电图的基本知识，了解常用影像学检查的应用指征及检查前后的护理，掌握身体状况评估的方法、内容、结果判断及临床意义，掌握常用实验室检查的正常参考值及异常结果的临床意义，能正确进行系统全面的身体状况评估，能熟练进行各种实验标本的采集，能熟练进行心电图操作并识别正常心电图，能综合分析评估对象的生理、心理、社会资料并找出护理问题，能正确书写护理病历</w:t>
            </w:r>
          </w:p>
        </w:tc>
        <w:tc>
          <w:tcPr>
            <w:tcW w:w="1217" w:type="dxa"/>
            <w:vAlign w:val="center"/>
          </w:tcPr>
          <w:p>
            <w:pPr>
              <w:jc w:val="center"/>
              <w:rPr>
                <w:rFonts w:hint="eastAsia" w:eastAsia="宋体" w:cs="Times New Roman"/>
                <w:kern w:val="0"/>
                <w:sz w:val="20"/>
                <w:szCs w:val="20"/>
                <w:lang w:val="en-US" w:eastAsia="zh-CN"/>
              </w:rPr>
            </w:pPr>
            <w:r>
              <w:rPr>
                <w:rFonts w:cs="Times New Roman"/>
                <w:kern w:val="0"/>
                <w:sz w:val="20"/>
                <w:szCs w:val="20"/>
              </w:rPr>
              <w:t>5</w:t>
            </w:r>
            <w:r>
              <w:rPr>
                <w:rFonts w:hint="eastAsia" w:cs="Times New Roman"/>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6</w:t>
            </w:r>
          </w:p>
        </w:tc>
        <w:tc>
          <w:tcPr>
            <w:tcW w:w="1479" w:type="dxa"/>
            <w:vAlign w:val="center"/>
          </w:tcPr>
          <w:p>
            <w:pPr>
              <w:jc w:val="center"/>
              <w:rPr>
                <w:rFonts w:cs="Times New Roman"/>
                <w:kern w:val="0"/>
                <w:sz w:val="20"/>
                <w:szCs w:val="20"/>
              </w:rPr>
            </w:pPr>
            <w:r>
              <w:rPr>
                <w:rFonts w:cs="Times New Roman"/>
                <w:kern w:val="0"/>
                <w:sz w:val="20"/>
                <w:szCs w:val="20"/>
              </w:rPr>
              <w:t>内科护理</w:t>
            </w:r>
          </w:p>
        </w:tc>
        <w:tc>
          <w:tcPr>
            <w:tcW w:w="4804" w:type="dxa"/>
          </w:tcPr>
          <w:p>
            <w:pPr>
              <w:pStyle w:val="12"/>
              <w:spacing w:before="1" w:line="242" w:lineRule="auto"/>
              <w:ind w:left="107" w:right="88" w:firstLine="400" w:firstLineChars="200"/>
              <w:rPr>
                <w:kern w:val="0"/>
                <w:sz w:val="20"/>
                <w:szCs w:val="20"/>
                <w:lang w:val="en-US"/>
              </w:rPr>
            </w:pPr>
            <w:r>
              <w:rPr>
                <w:kern w:val="0"/>
                <w:sz w:val="20"/>
                <w:szCs w:val="20"/>
              </w:rPr>
              <w:t>了解内科常见疾病的概念，熟悉内科常见病患者的护理问题，掌握内科常见病的护理评估及护理措施，具有对内科常见病患者的病情变化、心理变化和治疗反应进行观察和初步分析及处理的能力，能正确书写内科护理记录，能配合医师对内科急危重症患者进行抢救，能配合医师实施内科常用诊疗技术操作，能运用内科疾病预防保健知识和人际沟通技巧向个体、家庭、社区提供保健服务，开展健康教育</w:t>
            </w:r>
            <w:r>
              <w:rPr>
                <w:rFonts w:hint="eastAsia"/>
                <w:kern w:val="0"/>
                <w:sz w:val="20"/>
                <w:szCs w:val="20"/>
              </w:rPr>
              <w:t>。</w:t>
            </w:r>
          </w:p>
        </w:tc>
        <w:tc>
          <w:tcPr>
            <w:tcW w:w="1217" w:type="dxa"/>
            <w:vAlign w:val="center"/>
          </w:tcPr>
          <w:p>
            <w:pPr>
              <w:jc w:val="center"/>
              <w:rPr>
                <w:rFonts w:hint="default" w:eastAsia="宋体" w:cs="Times New Roman"/>
                <w:kern w:val="0"/>
                <w:sz w:val="20"/>
                <w:szCs w:val="20"/>
                <w:lang w:val="en-US" w:eastAsia="zh-CN"/>
              </w:rPr>
            </w:pPr>
            <w:r>
              <w:rPr>
                <w:rFonts w:cs="Times New Roman"/>
                <w:kern w:val="0"/>
                <w:sz w:val="20"/>
                <w:szCs w:val="20"/>
              </w:rPr>
              <w:t>1</w:t>
            </w:r>
            <w:r>
              <w:rPr>
                <w:rFonts w:hint="eastAsia" w:cs="Times New Roman"/>
                <w:kern w:val="0"/>
                <w:sz w:val="20"/>
                <w:szCs w:val="20"/>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7</w:t>
            </w:r>
          </w:p>
        </w:tc>
        <w:tc>
          <w:tcPr>
            <w:tcW w:w="1479" w:type="dxa"/>
            <w:vAlign w:val="center"/>
          </w:tcPr>
          <w:p>
            <w:pPr>
              <w:jc w:val="center"/>
              <w:rPr>
                <w:rFonts w:cs="Times New Roman"/>
                <w:kern w:val="0"/>
                <w:sz w:val="20"/>
                <w:szCs w:val="20"/>
              </w:rPr>
            </w:pPr>
            <w:r>
              <w:rPr>
                <w:rFonts w:cs="Times New Roman"/>
                <w:kern w:val="0"/>
                <w:sz w:val="20"/>
                <w:szCs w:val="20"/>
              </w:rPr>
              <w:t>外科护理</w:t>
            </w:r>
          </w:p>
        </w:tc>
        <w:tc>
          <w:tcPr>
            <w:tcW w:w="4804" w:type="dxa"/>
          </w:tcPr>
          <w:p>
            <w:pPr>
              <w:pStyle w:val="12"/>
              <w:spacing w:before="3" w:line="242" w:lineRule="auto"/>
              <w:ind w:left="107" w:right="205" w:firstLine="396" w:firstLineChars="200"/>
              <w:rPr>
                <w:kern w:val="0"/>
                <w:sz w:val="20"/>
                <w:szCs w:val="20"/>
                <w:lang w:val="en-US"/>
              </w:rPr>
            </w:pPr>
            <w:r>
              <w:rPr>
                <w:spacing w:val="-1"/>
                <w:kern w:val="0"/>
                <w:sz w:val="20"/>
                <w:szCs w:val="20"/>
              </w:rPr>
              <w:t>了解外科有关疾病的概念，熟悉手术室基本工作</w:t>
            </w:r>
            <w:r>
              <w:rPr>
                <w:kern w:val="0"/>
                <w:sz w:val="20"/>
                <w:szCs w:val="20"/>
              </w:rPr>
              <w:t>内容，熟悉外科常见病的处理原则，熟悉外科常</w:t>
            </w:r>
            <w:r>
              <w:rPr>
                <w:spacing w:val="-1"/>
                <w:kern w:val="0"/>
                <w:sz w:val="20"/>
                <w:szCs w:val="20"/>
              </w:rPr>
              <w:t>见病的护理问题；掌握外科常见病的护理评估、护理措施，掌握外科常见急危重症的救护原则和</w:t>
            </w:r>
            <w:r>
              <w:rPr>
                <w:kern w:val="0"/>
                <w:sz w:val="20"/>
                <w:szCs w:val="20"/>
              </w:rPr>
              <w:t>方法，能配合医师对外科急危重症患者进行抢 救，具有初步管理手术室和配合常见手术的能力，能运用外科疾病预防保健知识和人际沟通技巧，向个体、家庭及社区提供保健服务，开展健康教育</w:t>
            </w:r>
          </w:p>
        </w:tc>
        <w:tc>
          <w:tcPr>
            <w:tcW w:w="1217" w:type="dxa"/>
            <w:vAlign w:val="center"/>
          </w:tcPr>
          <w:p>
            <w:pPr>
              <w:jc w:val="center"/>
              <w:rPr>
                <w:rFonts w:hint="default" w:eastAsia="宋体" w:cs="Times New Roman"/>
                <w:kern w:val="0"/>
                <w:sz w:val="20"/>
                <w:szCs w:val="20"/>
                <w:lang w:val="en-US" w:eastAsia="zh-CN"/>
              </w:rPr>
            </w:pPr>
            <w:r>
              <w:rPr>
                <w:rFonts w:cs="Times New Roman"/>
                <w:kern w:val="0"/>
                <w:sz w:val="20"/>
                <w:szCs w:val="20"/>
              </w:rPr>
              <w:t>1</w:t>
            </w:r>
            <w:r>
              <w:rPr>
                <w:rFonts w:hint="eastAsia" w:cs="Times New Roman"/>
                <w:kern w:val="0"/>
                <w:sz w:val="20"/>
                <w:szCs w:val="20"/>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8</w:t>
            </w:r>
          </w:p>
        </w:tc>
        <w:tc>
          <w:tcPr>
            <w:tcW w:w="1479" w:type="dxa"/>
            <w:vAlign w:val="center"/>
          </w:tcPr>
          <w:p>
            <w:pPr>
              <w:pStyle w:val="12"/>
              <w:spacing w:before="2" w:line="290" w:lineRule="exact"/>
              <w:ind w:left="107"/>
              <w:jc w:val="center"/>
              <w:rPr>
                <w:kern w:val="0"/>
                <w:sz w:val="20"/>
                <w:szCs w:val="20"/>
              </w:rPr>
            </w:pPr>
            <w:r>
              <w:rPr>
                <w:kern w:val="0"/>
                <w:sz w:val="20"/>
                <w:szCs w:val="20"/>
              </w:rPr>
              <w:t>妇产科护</w:t>
            </w:r>
            <w:r>
              <w:rPr>
                <w:rFonts w:cs="Times New Roman"/>
                <w:kern w:val="0"/>
                <w:sz w:val="20"/>
                <w:szCs w:val="20"/>
              </w:rPr>
              <w:t>理</w:t>
            </w:r>
          </w:p>
        </w:tc>
        <w:tc>
          <w:tcPr>
            <w:tcW w:w="4804" w:type="dxa"/>
          </w:tcPr>
          <w:p>
            <w:pPr>
              <w:pStyle w:val="12"/>
              <w:spacing w:before="2" w:line="290" w:lineRule="exact"/>
              <w:ind w:left="107" w:firstLine="400" w:firstLineChars="200"/>
              <w:rPr>
                <w:kern w:val="0"/>
                <w:sz w:val="20"/>
                <w:szCs w:val="20"/>
              </w:rPr>
            </w:pPr>
            <w:r>
              <w:rPr>
                <w:kern w:val="0"/>
                <w:sz w:val="20"/>
                <w:szCs w:val="20"/>
              </w:rPr>
              <w:t>熟悉妇产科常见病的护理评估、护理问题，掌握妇产科护理的基本理论、基本知识，掌握妇产科常见病的护理措施， 能配合医师对妇产科常见急危重症患者实施抢救，能配合医师正确地进行妇产科主要护理技术操作，能运用妇产科疾病预防保健知识和人际沟通技巧向个体，家庭，社区提供保健服务和健康教育</w:t>
            </w:r>
          </w:p>
        </w:tc>
        <w:tc>
          <w:tcPr>
            <w:tcW w:w="1217" w:type="dxa"/>
            <w:vAlign w:val="center"/>
          </w:tcPr>
          <w:p>
            <w:pPr>
              <w:jc w:val="center"/>
              <w:rPr>
                <w:rFonts w:hint="eastAsia" w:eastAsia="宋体" w:cs="Times New Roman"/>
                <w:kern w:val="0"/>
                <w:sz w:val="20"/>
                <w:szCs w:val="20"/>
                <w:lang w:val="en-US" w:eastAsia="zh-CN"/>
              </w:rPr>
            </w:pPr>
            <w:r>
              <w:rPr>
                <w:rFonts w:cs="Times New Roman"/>
                <w:kern w:val="0"/>
                <w:sz w:val="20"/>
                <w:szCs w:val="20"/>
              </w:rPr>
              <w:t>7</w:t>
            </w:r>
            <w:r>
              <w:rPr>
                <w:rFonts w:hint="eastAsia" w:cs="Times New Roman"/>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cs="Times New Roman"/>
                <w:kern w:val="0"/>
                <w:sz w:val="20"/>
                <w:szCs w:val="20"/>
              </w:rPr>
            </w:pPr>
            <w:r>
              <w:rPr>
                <w:rFonts w:cs="Times New Roman"/>
                <w:kern w:val="0"/>
                <w:sz w:val="20"/>
                <w:szCs w:val="20"/>
              </w:rPr>
              <w:t>9</w:t>
            </w:r>
          </w:p>
        </w:tc>
        <w:tc>
          <w:tcPr>
            <w:tcW w:w="1479" w:type="dxa"/>
            <w:vAlign w:val="center"/>
          </w:tcPr>
          <w:p>
            <w:pPr>
              <w:jc w:val="center"/>
              <w:rPr>
                <w:rFonts w:cs="Times New Roman"/>
                <w:kern w:val="0"/>
                <w:sz w:val="20"/>
                <w:szCs w:val="20"/>
              </w:rPr>
            </w:pPr>
            <w:r>
              <w:rPr>
                <w:rFonts w:cs="Times New Roman"/>
                <w:kern w:val="0"/>
                <w:sz w:val="20"/>
                <w:szCs w:val="20"/>
              </w:rPr>
              <w:t>儿科护理</w:t>
            </w:r>
          </w:p>
        </w:tc>
        <w:tc>
          <w:tcPr>
            <w:tcW w:w="4804" w:type="dxa"/>
          </w:tcPr>
          <w:p>
            <w:pPr>
              <w:ind w:firstLine="400" w:firstLineChars="200"/>
              <w:rPr>
                <w:rFonts w:cs="Times New Roman"/>
                <w:kern w:val="0"/>
                <w:sz w:val="20"/>
                <w:szCs w:val="20"/>
              </w:rPr>
            </w:pPr>
            <w:r>
              <w:rPr>
                <w:rFonts w:cs="Times New Roman"/>
                <w:kern w:val="0"/>
                <w:sz w:val="20"/>
                <w:szCs w:val="20"/>
              </w:rPr>
              <w:t>了解儿科常见疾病的概念，掌握小儿生长发育规律、营养与喂养、计划免疫等知识，掌握儿科常见疾病的护理评估、护理问题和护理措施， 能配合医师对急危重症患儿进行抢救配合，能配合医师进行儿科常用护理技术操作，能运用儿科疾病预防保健知识和人际沟通技巧向个体</w:t>
            </w:r>
            <w:r>
              <w:rPr>
                <w:rFonts w:hint="eastAsia" w:cs="Times New Roman"/>
                <w:kern w:val="0"/>
                <w:sz w:val="20"/>
                <w:szCs w:val="20"/>
              </w:rPr>
              <w:t>、</w:t>
            </w:r>
            <w:r>
              <w:rPr>
                <w:rFonts w:cs="Times New Roman"/>
                <w:kern w:val="0"/>
                <w:sz w:val="20"/>
                <w:szCs w:val="20"/>
              </w:rPr>
              <w:t>家庭</w:t>
            </w:r>
            <w:r>
              <w:rPr>
                <w:rFonts w:hint="eastAsia" w:cs="Times New Roman"/>
                <w:kern w:val="0"/>
                <w:sz w:val="20"/>
                <w:szCs w:val="20"/>
              </w:rPr>
              <w:t>、</w:t>
            </w:r>
            <w:r>
              <w:rPr>
                <w:rFonts w:cs="Times New Roman"/>
                <w:kern w:val="0"/>
                <w:sz w:val="20"/>
                <w:szCs w:val="20"/>
              </w:rPr>
              <w:t>社区提供儿童保健服务和健康教育</w:t>
            </w:r>
            <w:r>
              <w:rPr>
                <w:rFonts w:hint="eastAsia" w:cs="Times New Roman"/>
                <w:kern w:val="0"/>
                <w:sz w:val="20"/>
                <w:szCs w:val="20"/>
              </w:rPr>
              <w:t>。</w:t>
            </w:r>
          </w:p>
        </w:tc>
        <w:tc>
          <w:tcPr>
            <w:tcW w:w="1217" w:type="dxa"/>
            <w:vAlign w:val="center"/>
          </w:tcPr>
          <w:p>
            <w:pPr>
              <w:jc w:val="center"/>
              <w:rPr>
                <w:rFonts w:hint="eastAsia" w:eastAsia="宋体" w:cs="Times New Roman"/>
                <w:kern w:val="0"/>
                <w:sz w:val="20"/>
                <w:szCs w:val="20"/>
                <w:lang w:val="en-US" w:eastAsia="zh-CN"/>
              </w:rPr>
            </w:pPr>
            <w:r>
              <w:rPr>
                <w:rFonts w:cs="Times New Roman"/>
                <w:kern w:val="0"/>
                <w:sz w:val="20"/>
                <w:szCs w:val="20"/>
              </w:rPr>
              <w:t>7</w:t>
            </w:r>
            <w:r>
              <w:rPr>
                <w:rFonts w:hint="eastAsia" w:cs="Times New Roman"/>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84" w:type="dxa"/>
            <w:vAlign w:val="center"/>
          </w:tcPr>
          <w:p>
            <w:pPr>
              <w:jc w:val="center"/>
              <w:rPr>
                <w:rFonts w:hint="default" w:ascii="Times New Roman" w:hAnsi="Times New Roman" w:eastAsia="宋体" w:cs="Times New Roman"/>
                <w:kern w:val="0"/>
                <w:sz w:val="20"/>
                <w:szCs w:val="20"/>
                <w:lang w:val="en-US" w:eastAsia="zh-CN" w:bidi="ar-SA"/>
              </w:rPr>
            </w:pPr>
            <w:r>
              <w:rPr>
                <w:rFonts w:hint="eastAsia" w:cs="Times New Roman"/>
                <w:kern w:val="0"/>
                <w:sz w:val="20"/>
                <w:szCs w:val="20"/>
                <w:lang w:val="en-US" w:eastAsia="zh-CN"/>
              </w:rPr>
              <w:t>10</w:t>
            </w:r>
          </w:p>
        </w:tc>
        <w:tc>
          <w:tcPr>
            <w:tcW w:w="1479" w:type="dxa"/>
            <w:vAlign w:val="center"/>
          </w:tcPr>
          <w:p>
            <w:pPr>
              <w:jc w:val="center"/>
              <w:rPr>
                <w:rFonts w:hint="eastAsia" w:ascii="Times New Roman" w:hAnsi="Times New Roman" w:eastAsia="宋体" w:cs="Times New Roman"/>
                <w:kern w:val="0"/>
                <w:sz w:val="20"/>
                <w:szCs w:val="20"/>
                <w:lang w:val="zh-CN" w:eastAsia="zh-CN" w:bidi="ar-SA"/>
              </w:rPr>
            </w:pPr>
            <w:r>
              <w:rPr>
                <w:rFonts w:hint="eastAsia" w:cs="Times New Roman"/>
                <w:kern w:val="0"/>
                <w:sz w:val="20"/>
                <w:szCs w:val="20"/>
                <w:lang w:val="en-US" w:eastAsia="zh-CN"/>
              </w:rPr>
              <w:t>老年护理</w:t>
            </w:r>
          </w:p>
        </w:tc>
        <w:tc>
          <w:tcPr>
            <w:tcW w:w="4804" w:type="dxa"/>
            <w:vAlign w:val="top"/>
          </w:tcPr>
          <w:p>
            <w:pPr>
              <w:pStyle w:val="12"/>
              <w:spacing w:before="2" w:line="242" w:lineRule="auto"/>
              <w:ind w:left="108" w:leftChars="0" w:right="179" w:rightChars="0" w:firstLine="400" w:firstLineChars="200"/>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熟悉老年人各系统的老化特征和老年人的心理变化特征，掌握老年人健康评估的方法和内容</w:t>
            </w:r>
            <w:r>
              <w:rPr>
                <w:rFonts w:hint="eastAsia" w:ascii="Times New Roman" w:hAnsi="Times New Roman" w:cs="Times New Roman"/>
                <w:kern w:val="0"/>
                <w:sz w:val="20"/>
                <w:szCs w:val="20"/>
                <w:lang w:val="en-US" w:eastAsia="zh-CN" w:bidi="ar-SA"/>
              </w:rPr>
              <w:t>，</w:t>
            </w:r>
            <w:r>
              <w:rPr>
                <w:rFonts w:hint="eastAsia" w:ascii="Times New Roman" w:hAnsi="Times New Roman" w:eastAsia="宋体" w:cs="Times New Roman"/>
                <w:kern w:val="0"/>
                <w:sz w:val="20"/>
                <w:szCs w:val="20"/>
                <w:lang w:val="en-US" w:eastAsia="zh-CN" w:bidi="ar-SA"/>
              </w:rPr>
              <w:t>掌握老年人的日常生活护理、安全用药原则</w:t>
            </w:r>
            <w:r>
              <w:rPr>
                <w:rFonts w:hint="eastAsia" w:ascii="Times New Roman" w:hAnsi="Times New Roman" w:cs="Times New Roman"/>
                <w:kern w:val="0"/>
                <w:sz w:val="20"/>
                <w:szCs w:val="20"/>
                <w:lang w:val="en-US" w:eastAsia="zh-CN" w:bidi="ar-SA"/>
              </w:rPr>
              <w:t>，</w:t>
            </w:r>
            <w:r>
              <w:rPr>
                <w:rFonts w:hint="eastAsia" w:ascii="Times New Roman" w:hAnsi="Times New Roman" w:eastAsia="宋体" w:cs="Times New Roman"/>
                <w:kern w:val="0"/>
                <w:sz w:val="20"/>
                <w:szCs w:val="20"/>
                <w:lang w:val="en-US" w:eastAsia="zh-CN" w:bidi="ar-SA"/>
              </w:rPr>
              <w:t>掌握老年人常见健康问题及护理</w:t>
            </w:r>
            <w:r>
              <w:rPr>
                <w:rFonts w:hint="eastAsia" w:ascii="Times New Roman" w:hAnsi="Times New Roman" w:cs="Times New Roman"/>
                <w:kern w:val="0"/>
                <w:sz w:val="20"/>
                <w:szCs w:val="20"/>
                <w:lang w:val="en-US" w:eastAsia="zh-CN" w:bidi="ar-SA"/>
              </w:rPr>
              <w:t>，</w:t>
            </w:r>
            <w:r>
              <w:rPr>
                <w:rFonts w:hint="eastAsia" w:ascii="Times New Roman" w:hAnsi="Times New Roman" w:eastAsia="宋体" w:cs="Times New Roman"/>
                <w:kern w:val="0"/>
                <w:sz w:val="20"/>
                <w:szCs w:val="20"/>
                <w:lang w:val="en-US" w:eastAsia="zh-CN" w:bidi="ar-SA"/>
              </w:rPr>
              <w:t>掌握老年人的临终护理</w:t>
            </w:r>
            <w:r>
              <w:rPr>
                <w:rFonts w:hint="eastAsia" w:ascii="Times New Roman" w:hAnsi="Times New Roman" w:cs="Times New Roman"/>
                <w:kern w:val="0"/>
                <w:sz w:val="20"/>
                <w:szCs w:val="20"/>
                <w:lang w:val="en-US" w:eastAsia="zh-CN" w:bidi="ar-SA"/>
              </w:rPr>
              <w:t>，</w:t>
            </w:r>
            <w:r>
              <w:rPr>
                <w:rFonts w:hint="eastAsia" w:ascii="Times New Roman" w:hAnsi="Times New Roman" w:eastAsia="宋体" w:cs="Times New Roman"/>
                <w:kern w:val="0"/>
                <w:sz w:val="20"/>
                <w:szCs w:val="20"/>
                <w:lang w:val="en-US" w:eastAsia="zh-CN" w:bidi="ar-SA"/>
              </w:rPr>
              <w:t>掌握老年各系统常见病的临床特点和护理措施。</w:t>
            </w:r>
          </w:p>
        </w:tc>
        <w:tc>
          <w:tcPr>
            <w:tcW w:w="1217" w:type="dxa"/>
            <w:vAlign w:val="top"/>
          </w:tcPr>
          <w:p>
            <w:pPr>
              <w:pStyle w:val="12"/>
              <w:spacing w:before="81"/>
              <w:ind w:right="0" w:rightChars="0"/>
              <w:jc w:val="center"/>
              <w:rPr>
                <w:rFonts w:hint="eastAsia" w:ascii="Times New Roman" w:hAnsi="Times New Roman" w:eastAsia="宋体" w:cs="Times New Roman"/>
                <w:kern w:val="0"/>
                <w:sz w:val="20"/>
                <w:szCs w:val="20"/>
                <w:lang w:val="en-US" w:eastAsia="zh-CN" w:bidi="ar-SA"/>
              </w:rPr>
            </w:pPr>
          </w:p>
          <w:p>
            <w:pPr>
              <w:pStyle w:val="12"/>
              <w:spacing w:before="81"/>
              <w:ind w:right="0" w:rightChars="0"/>
              <w:jc w:val="center"/>
              <w:rPr>
                <w:rFonts w:hint="eastAsia" w:ascii="Times New Roman" w:hAnsi="Times New Roman" w:eastAsia="宋体" w:cs="Times New Roman"/>
                <w:kern w:val="0"/>
                <w:sz w:val="20"/>
                <w:szCs w:val="20"/>
                <w:lang w:val="en-US" w:eastAsia="zh-CN" w:bidi="ar-SA"/>
              </w:rPr>
            </w:pPr>
          </w:p>
          <w:p>
            <w:pPr>
              <w:pStyle w:val="12"/>
              <w:spacing w:before="81"/>
              <w:ind w:right="0" w:rightChars="0"/>
              <w:jc w:val="cente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3</w:t>
            </w:r>
            <w:r>
              <w:rPr>
                <w:rFonts w:hint="eastAsia" w:ascii="Times New Roman" w:hAnsi="Times New Roman" w:cs="Times New Roman"/>
                <w:kern w:val="0"/>
                <w:sz w:val="20"/>
                <w:szCs w:val="20"/>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84" w:type="dxa"/>
            <w:vAlign w:val="center"/>
          </w:tcPr>
          <w:p>
            <w:pPr>
              <w:jc w:val="center"/>
              <w:rPr>
                <w:rFonts w:hint="eastAsia" w:eastAsia="宋体" w:cs="Times New Roman"/>
                <w:kern w:val="0"/>
                <w:sz w:val="20"/>
                <w:szCs w:val="20"/>
                <w:lang w:val="en-US" w:eastAsia="zh-CN"/>
              </w:rPr>
            </w:pPr>
            <w:r>
              <w:rPr>
                <w:rFonts w:cs="Times New Roman"/>
                <w:kern w:val="0"/>
                <w:sz w:val="20"/>
                <w:szCs w:val="20"/>
              </w:rPr>
              <w:t>1</w:t>
            </w:r>
            <w:r>
              <w:rPr>
                <w:rFonts w:hint="eastAsia" w:cs="Times New Roman"/>
                <w:kern w:val="0"/>
                <w:sz w:val="20"/>
                <w:szCs w:val="20"/>
                <w:lang w:val="en-US" w:eastAsia="zh-CN"/>
              </w:rPr>
              <w:t>1</w:t>
            </w:r>
          </w:p>
        </w:tc>
        <w:tc>
          <w:tcPr>
            <w:tcW w:w="1479" w:type="dxa"/>
            <w:vAlign w:val="center"/>
          </w:tcPr>
          <w:p>
            <w:pPr>
              <w:jc w:val="center"/>
              <w:rPr>
                <w:rFonts w:cs="Times New Roman"/>
                <w:kern w:val="0"/>
                <w:sz w:val="20"/>
                <w:szCs w:val="20"/>
              </w:rPr>
            </w:pPr>
            <w:r>
              <w:rPr>
                <w:rFonts w:hint="eastAsia" w:ascii="宋体" w:hAnsi="宋体" w:cs="宋体"/>
                <w:kern w:val="0"/>
                <w:sz w:val="20"/>
                <w:szCs w:val="20"/>
                <w:lang w:val="zh-CN" w:bidi="zh-CN"/>
              </w:rPr>
              <w:t>护理礼仪</w:t>
            </w:r>
          </w:p>
        </w:tc>
        <w:tc>
          <w:tcPr>
            <w:tcW w:w="4804" w:type="dxa"/>
            <w:vAlign w:val="center"/>
          </w:tcPr>
          <w:p>
            <w:pPr>
              <w:ind w:firstLine="400" w:firstLineChars="200"/>
              <w:rPr>
                <w:rFonts w:cs="Times New Roman"/>
                <w:kern w:val="0"/>
                <w:sz w:val="20"/>
                <w:szCs w:val="20"/>
                <w:highlight w:val="yellow"/>
              </w:rPr>
            </w:pPr>
            <w:r>
              <w:rPr>
                <w:rFonts w:hint="eastAsia" w:cs="Times New Roman"/>
                <w:kern w:val="0"/>
                <w:sz w:val="20"/>
                <w:szCs w:val="20"/>
              </w:rPr>
              <w:t>熟悉礼仪在实际生活中运用的原则和作用，了解护理礼仪在提升护患关系上起到的作用。掌握护士工作妆容及化妆技巧，护士职业服装的要求和规范，护士举止礼仪。</w:t>
            </w:r>
          </w:p>
        </w:tc>
        <w:tc>
          <w:tcPr>
            <w:tcW w:w="1217" w:type="dxa"/>
            <w:vAlign w:val="center"/>
          </w:tcPr>
          <w:p>
            <w:pPr>
              <w:jc w:val="center"/>
              <w:rPr>
                <w:rFonts w:cs="Times New Roman"/>
                <w:kern w:val="0"/>
                <w:sz w:val="20"/>
                <w:szCs w:val="20"/>
              </w:rPr>
            </w:pPr>
            <w:r>
              <w:rPr>
                <w:rFonts w:hint="eastAsia" w:cs="Times New Roman"/>
                <w:kern w:val="0"/>
                <w:sz w:val="20"/>
                <w:szCs w:val="20"/>
              </w:rPr>
              <w:t>3</w:t>
            </w:r>
            <w:r>
              <w:rPr>
                <w:rFonts w:cs="Times New Roman"/>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eastAsia" w:eastAsia="宋体" w:cs="Times New Roman"/>
                <w:kern w:val="0"/>
                <w:sz w:val="20"/>
                <w:szCs w:val="20"/>
                <w:lang w:val="en-US" w:eastAsia="zh-CN"/>
              </w:rPr>
            </w:pPr>
            <w:r>
              <w:rPr>
                <w:rFonts w:hint="eastAsia" w:cs="Times New Roman"/>
                <w:kern w:val="0"/>
                <w:sz w:val="20"/>
                <w:szCs w:val="20"/>
              </w:rPr>
              <w:t>1</w:t>
            </w:r>
            <w:r>
              <w:rPr>
                <w:rFonts w:hint="eastAsia" w:cs="Times New Roman"/>
                <w:kern w:val="0"/>
                <w:sz w:val="20"/>
                <w:szCs w:val="20"/>
                <w:lang w:val="en-US" w:eastAsia="zh-CN"/>
              </w:rPr>
              <w:t>2</w:t>
            </w:r>
          </w:p>
        </w:tc>
        <w:tc>
          <w:tcPr>
            <w:tcW w:w="1479" w:type="dxa"/>
            <w:vAlign w:val="center"/>
          </w:tcPr>
          <w:p>
            <w:pPr>
              <w:jc w:val="center"/>
              <w:rPr>
                <w:rFonts w:cs="Times New Roman"/>
                <w:kern w:val="0"/>
                <w:sz w:val="20"/>
                <w:szCs w:val="20"/>
              </w:rPr>
            </w:pPr>
            <w:r>
              <w:rPr>
                <w:rFonts w:cs="Times New Roman"/>
                <w:kern w:val="0"/>
                <w:sz w:val="20"/>
                <w:szCs w:val="20"/>
              </w:rPr>
              <w:t>中医护理</w:t>
            </w:r>
          </w:p>
        </w:tc>
        <w:tc>
          <w:tcPr>
            <w:tcW w:w="4804" w:type="dxa"/>
          </w:tcPr>
          <w:p>
            <w:pPr>
              <w:ind w:firstLine="400" w:firstLineChars="200"/>
              <w:rPr>
                <w:rFonts w:cs="Times New Roman"/>
                <w:kern w:val="0"/>
                <w:sz w:val="20"/>
                <w:szCs w:val="20"/>
                <w:lang w:val="zh-CN"/>
              </w:rPr>
            </w:pPr>
            <w:r>
              <w:rPr>
                <w:rFonts w:cs="Times New Roman"/>
                <w:kern w:val="0"/>
                <w:sz w:val="20"/>
                <w:szCs w:val="20"/>
              </w:rPr>
              <w:t>了解中医护理的发展概况，熟悉中医护理的基础理论知识，掌握中医护理的原则和用药护理的方法，学会灸法、推拿、拔罐、刮痧等中医护理操作技术。</w:t>
            </w:r>
          </w:p>
        </w:tc>
        <w:tc>
          <w:tcPr>
            <w:tcW w:w="1217" w:type="dxa"/>
            <w:vAlign w:val="center"/>
          </w:tcPr>
          <w:p>
            <w:pPr>
              <w:jc w:val="center"/>
              <w:rPr>
                <w:rFonts w:hint="eastAsia" w:eastAsia="宋体" w:cs="Times New Roman"/>
                <w:kern w:val="0"/>
                <w:sz w:val="20"/>
                <w:szCs w:val="20"/>
                <w:lang w:val="en-US" w:eastAsia="zh-CN"/>
              </w:rPr>
            </w:pPr>
            <w:r>
              <w:rPr>
                <w:rFonts w:cs="Times New Roman"/>
                <w:kern w:val="0"/>
                <w:sz w:val="20"/>
                <w:szCs w:val="20"/>
              </w:rPr>
              <w:t>3</w:t>
            </w:r>
            <w:r>
              <w:rPr>
                <w:rFonts w:hint="eastAsia" w:cs="Times New Roman"/>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84" w:type="dxa"/>
            <w:vAlign w:val="center"/>
          </w:tcPr>
          <w:p>
            <w:pPr>
              <w:jc w:val="center"/>
              <w:rPr>
                <w:rFonts w:hint="eastAsia" w:eastAsia="宋体" w:cs="Times New Roman"/>
                <w:kern w:val="0"/>
                <w:sz w:val="20"/>
                <w:szCs w:val="20"/>
                <w:lang w:val="en-US" w:eastAsia="zh-CN"/>
              </w:rPr>
            </w:pPr>
            <w:r>
              <w:rPr>
                <w:rFonts w:hint="eastAsia" w:cs="Times New Roman"/>
                <w:kern w:val="0"/>
                <w:sz w:val="20"/>
                <w:szCs w:val="20"/>
              </w:rPr>
              <w:t>1</w:t>
            </w:r>
            <w:r>
              <w:rPr>
                <w:rFonts w:hint="eastAsia" w:cs="Times New Roman"/>
                <w:kern w:val="0"/>
                <w:sz w:val="20"/>
                <w:szCs w:val="20"/>
                <w:lang w:val="en-US" w:eastAsia="zh-CN"/>
              </w:rPr>
              <w:t>3</w:t>
            </w:r>
          </w:p>
        </w:tc>
        <w:tc>
          <w:tcPr>
            <w:tcW w:w="1479" w:type="dxa"/>
            <w:vAlign w:val="center"/>
          </w:tcPr>
          <w:p>
            <w:pPr>
              <w:jc w:val="center"/>
              <w:rPr>
                <w:rFonts w:cs="Times New Roman"/>
                <w:kern w:val="0"/>
                <w:sz w:val="20"/>
                <w:szCs w:val="20"/>
              </w:rPr>
            </w:pPr>
            <w:r>
              <w:rPr>
                <w:rFonts w:cs="Times New Roman"/>
                <w:kern w:val="0"/>
                <w:sz w:val="20"/>
                <w:szCs w:val="20"/>
              </w:rPr>
              <w:t>急救护理技术</w:t>
            </w:r>
          </w:p>
        </w:tc>
        <w:tc>
          <w:tcPr>
            <w:tcW w:w="4804" w:type="dxa"/>
            <w:vAlign w:val="center"/>
          </w:tcPr>
          <w:p>
            <w:pPr>
              <w:ind w:firstLine="400" w:firstLineChars="200"/>
              <w:rPr>
                <w:rFonts w:cs="Times New Roman"/>
                <w:spacing w:val="-2"/>
                <w:kern w:val="0"/>
                <w:sz w:val="20"/>
                <w:szCs w:val="20"/>
              </w:rPr>
            </w:pPr>
            <w:r>
              <w:rPr>
                <w:rFonts w:cs="Times New Roman"/>
                <w:kern w:val="0"/>
                <w:sz w:val="20"/>
                <w:szCs w:val="20"/>
              </w:rPr>
              <w:t>了解急救医疗服务体系，熟悉院外急救的概念、任务和管理，掌握院外急救及护理，掌握医院急诊科管理</w:t>
            </w:r>
            <w:r>
              <w:rPr>
                <w:rFonts w:hint="eastAsia" w:cs="Times New Roman"/>
                <w:kern w:val="0"/>
                <w:sz w:val="20"/>
                <w:szCs w:val="20"/>
              </w:rPr>
              <w:t>。</w:t>
            </w:r>
            <w:r>
              <w:rPr>
                <w:rFonts w:cs="Times New Roman"/>
                <w:kern w:val="0"/>
                <w:sz w:val="20"/>
                <w:szCs w:val="20"/>
              </w:rPr>
              <w:t>掌握常见急危重症患者的病情观察、救治原则及护理</w:t>
            </w:r>
            <w:r>
              <w:rPr>
                <w:rFonts w:hint="eastAsia" w:cs="Times New Roman"/>
                <w:kern w:val="0"/>
                <w:sz w:val="20"/>
                <w:szCs w:val="20"/>
              </w:rPr>
              <w:t>。</w:t>
            </w:r>
            <w:r>
              <w:rPr>
                <w:rFonts w:cs="Times New Roman"/>
                <w:kern w:val="0"/>
                <w:sz w:val="20"/>
                <w:szCs w:val="20"/>
              </w:rPr>
              <w:t>能正确实施常用急救护理技术</w:t>
            </w:r>
            <w:r>
              <w:rPr>
                <w:rFonts w:hint="eastAsia" w:cs="Times New Roman"/>
                <w:kern w:val="0"/>
                <w:sz w:val="20"/>
                <w:szCs w:val="20"/>
              </w:rPr>
              <w:t>。</w:t>
            </w:r>
          </w:p>
        </w:tc>
        <w:tc>
          <w:tcPr>
            <w:tcW w:w="1217" w:type="dxa"/>
            <w:vAlign w:val="center"/>
          </w:tcPr>
          <w:p>
            <w:pPr>
              <w:jc w:val="center"/>
              <w:rPr>
                <w:rFonts w:hint="eastAsia" w:eastAsia="宋体" w:cs="Times New Roman"/>
                <w:kern w:val="0"/>
                <w:sz w:val="20"/>
                <w:szCs w:val="20"/>
                <w:lang w:val="en-US" w:eastAsia="zh-CN"/>
              </w:rPr>
            </w:pPr>
            <w:r>
              <w:rPr>
                <w:rFonts w:cs="Times New Roman"/>
                <w:kern w:val="0"/>
                <w:sz w:val="20"/>
                <w:szCs w:val="20"/>
              </w:rPr>
              <w:t>3</w:t>
            </w:r>
            <w:r>
              <w:rPr>
                <w:rFonts w:hint="eastAsia" w:cs="Times New Roman"/>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eastAsia" w:eastAsia="宋体" w:cs="Times New Roman"/>
                <w:kern w:val="0"/>
                <w:sz w:val="20"/>
                <w:szCs w:val="20"/>
                <w:lang w:val="en-US" w:eastAsia="zh-CN"/>
              </w:rPr>
            </w:pPr>
            <w:r>
              <w:rPr>
                <w:rFonts w:hint="eastAsia" w:cs="Times New Roman"/>
                <w:kern w:val="0"/>
                <w:sz w:val="20"/>
                <w:szCs w:val="20"/>
              </w:rPr>
              <w:t>1</w:t>
            </w:r>
            <w:r>
              <w:rPr>
                <w:rFonts w:hint="eastAsia" w:cs="Times New Roman"/>
                <w:kern w:val="0"/>
                <w:sz w:val="20"/>
                <w:szCs w:val="20"/>
                <w:lang w:val="en-US" w:eastAsia="zh-CN"/>
              </w:rPr>
              <w:t>4</w:t>
            </w:r>
          </w:p>
        </w:tc>
        <w:tc>
          <w:tcPr>
            <w:tcW w:w="1479" w:type="dxa"/>
            <w:vAlign w:val="center"/>
          </w:tcPr>
          <w:p>
            <w:pPr>
              <w:jc w:val="center"/>
              <w:rPr>
                <w:rFonts w:cs="Times New Roman"/>
                <w:kern w:val="0"/>
                <w:sz w:val="20"/>
                <w:szCs w:val="20"/>
              </w:rPr>
            </w:pPr>
            <w:r>
              <w:rPr>
                <w:rFonts w:hint="eastAsia" w:cs="Times New Roman"/>
                <w:kern w:val="0"/>
                <w:sz w:val="20"/>
                <w:szCs w:val="20"/>
              </w:rPr>
              <w:t>心理与精神科护理</w:t>
            </w:r>
          </w:p>
        </w:tc>
        <w:tc>
          <w:tcPr>
            <w:tcW w:w="4804" w:type="dxa"/>
            <w:vAlign w:val="center"/>
          </w:tcPr>
          <w:p>
            <w:pPr>
              <w:ind w:firstLine="400" w:firstLineChars="200"/>
              <w:rPr>
                <w:rFonts w:cs="Times New Roman"/>
                <w:kern w:val="0"/>
                <w:sz w:val="20"/>
                <w:szCs w:val="20"/>
              </w:rPr>
            </w:pPr>
            <w:r>
              <w:rPr>
                <w:rFonts w:hint="eastAsia" w:cs="Times New Roman"/>
                <w:kern w:val="0"/>
                <w:sz w:val="20"/>
                <w:szCs w:val="20"/>
              </w:rPr>
              <w:t>了解心理学基础、心理评估、心理咨询与危机干预、熟悉常见精神疾病的症状识别与护理。熟练区分人的正常心理状态、异常精神活动、掌握心理评估、心理危机干预、常见精神疾病心理护理、心理咨询与治疗等技术。</w:t>
            </w:r>
          </w:p>
        </w:tc>
        <w:tc>
          <w:tcPr>
            <w:tcW w:w="1217" w:type="dxa"/>
            <w:vAlign w:val="center"/>
          </w:tcPr>
          <w:p>
            <w:pPr>
              <w:jc w:val="center"/>
              <w:rPr>
                <w:rFonts w:hint="eastAsia" w:eastAsia="宋体" w:cs="Times New Roman"/>
                <w:kern w:val="0"/>
                <w:sz w:val="20"/>
                <w:szCs w:val="20"/>
                <w:lang w:val="en-US" w:eastAsia="zh-CN"/>
              </w:rPr>
            </w:pPr>
            <w:r>
              <w:rPr>
                <w:rFonts w:hint="eastAsia" w:cs="Times New Roman"/>
                <w:kern w:val="0"/>
                <w:sz w:val="20"/>
                <w:szCs w:val="20"/>
              </w:rPr>
              <w:t>3</w:t>
            </w:r>
            <w:r>
              <w:rPr>
                <w:rFonts w:hint="eastAsia" w:cs="Times New Roman"/>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15</w:t>
            </w:r>
          </w:p>
        </w:tc>
        <w:tc>
          <w:tcPr>
            <w:tcW w:w="1479"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护理伦理与卫生法律法规</w:t>
            </w:r>
          </w:p>
        </w:tc>
        <w:tc>
          <w:tcPr>
            <w:tcW w:w="4804" w:type="dxa"/>
            <w:vAlign w:val="center"/>
          </w:tcPr>
          <w:p>
            <w:pPr>
              <w:ind w:firstLine="400" w:firstLineChars="200"/>
              <w:rPr>
                <w:rFonts w:hint="default" w:eastAsia="宋体" w:cs="Times New Roman"/>
                <w:kern w:val="0"/>
                <w:sz w:val="20"/>
                <w:szCs w:val="20"/>
                <w:lang w:val="en-US" w:eastAsia="zh-CN"/>
              </w:rPr>
            </w:pPr>
            <w:r>
              <w:rPr>
                <w:rFonts w:hint="eastAsia" w:cs="Times New Roman"/>
                <w:kern w:val="0"/>
                <w:sz w:val="20"/>
                <w:szCs w:val="20"/>
                <w:lang w:val="en-US" w:eastAsia="zh-CN"/>
              </w:rPr>
              <w:t>理解护理伦理与卫生法规对护理人员的意义；理解护理伦理与患者、社会、科学技术的关系；了解违背卫生法规的处罚；掌握护理伦理原则、规范及其在护理实践中的应用；掌握护士执业有关法律规定。</w:t>
            </w:r>
          </w:p>
        </w:tc>
        <w:tc>
          <w:tcPr>
            <w:tcW w:w="1217" w:type="dxa"/>
            <w:vAlign w:val="center"/>
          </w:tcPr>
          <w:p>
            <w:pPr>
              <w:jc w:val="center"/>
              <w:rPr>
                <w:rFonts w:hint="default" w:eastAsia="宋体" w:cs="Times New Roman"/>
                <w:kern w:val="0"/>
                <w:sz w:val="20"/>
                <w:szCs w:val="20"/>
                <w:lang w:val="en-US" w:eastAsia="zh-CN"/>
              </w:rPr>
            </w:pPr>
            <w:r>
              <w:rPr>
                <w:rFonts w:hint="eastAsia" w:cs="Times New Roman"/>
                <w:kern w:val="0"/>
                <w:sz w:val="20"/>
                <w:szCs w:val="20"/>
                <w:lang w:val="en-US" w:eastAsia="zh-CN"/>
              </w:rPr>
              <w:t>38</w:t>
            </w:r>
          </w:p>
        </w:tc>
      </w:tr>
      <w:bookmarkEnd w:id="0"/>
    </w:tbl>
    <w:p>
      <w:pPr>
        <w:rPr>
          <w:sz w:val="28"/>
          <w:szCs w:val="28"/>
        </w:rPr>
      </w:pPr>
      <w:r>
        <w:rPr>
          <w:rFonts w:hint="eastAsia"/>
          <w:sz w:val="28"/>
          <w:szCs w:val="28"/>
        </w:rPr>
        <w:t>（三）综合实训</w:t>
      </w:r>
    </w:p>
    <w:p>
      <w:pPr>
        <w:ind w:firstLine="560" w:firstLineChars="200"/>
        <w:rPr>
          <w:sz w:val="28"/>
          <w:szCs w:val="28"/>
        </w:rPr>
      </w:pPr>
      <w:r>
        <w:rPr>
          <w:rFonts w:hint="eastAsia"/>
          <w:sz w:val="28"/>
          <w:szCs w:val="28"/>
        </w:rPr>
        <w:t>综合实训包括教学见习及综合技能训练。教学见习旨在使学生熟悉医院环境及临床、护理工作内容。综合技能训练旨在使学生进一步理解基本理论知识并掌握一定的操作技能，提升专业知识与技能的综合应用能力。</w:t>
      </w:r>
    </w:p>
    <w:p>
      <w:pPr>
        <w:rPr>
          <w:sz w:val="28"/>
          <w:szCs w:val="28"/>
        </w:rPr>
      </w:pPr>
      <w:r>
        <w:rPr>
          <w:rFonts w:hint="eastAsia"/>
          <w:sz w:val="28"/>
          <w:szCs w:val="28"/>
        </w:rPr>
        <w:t>（四）毕业实习</w:t>
      </w:r>
    </w:p>
    <w:p>
      <w:pPr>
        <w:ind w:firstLine="560" w:firstLineChars="200"/>
        <w:rPr>
          <w:sz w:val="28"/>
          <w:szCs w:val="28"/>
        </w:rPr>
      </w:pPr>
      <w:r>
        <w:rPr>
          <w:rFonts w:hint="eastAsia"/>
          <w:sz w:val="28"/>
          <w:szCs w:val="28"/>
        </w:rPr>
        <w:t>毕业实习是培养学生职业技能和职业岗位工作能力的重要实践，教学环节认真落实国家《护士条例》和教育部、财政部关于《中等职业学校学生实习管理办法》的有关要求，在确保学生实习总量的同时，保证学习岗位与本专业面向的岗位群一致，并覆盖职业准入标准的内容。</w:t>
      </w:r>
    </w:p>
    <w:p>
      <w:pPr>
        <w:ind w:firstLine="560" w:firstLineChars="200"/>
        <w:rPr>
          <w:rFonts w:hint="eastAsia"/>
          <w:sz w:val="28"/>
          <w:szCs w:val="28"/>
        </w:rPr>
      </w:pPr>
      <w:r>
        <w:rPr>
          <w:rFonts w:hint="eastAsia"/>
          <w:sz w:val="28"/>
          <w:szCs w:val="28"/>
        </w:rPr>
        <w:t>第三学年安排毕业实习40周，安排在综合医院实习医院，原则上为县级以上教学医院或综合性医院。</w:t>
      </w:r>
    </w:p>
    <w:p>
      <w:pPr>
        <w:numPr>
          <w:ilvl w:val="0"/>
          <w:numId w:val="0"/>
        </w:numPr>
        <w:rPr>
          <w:rFonts w:hint="eastAsia"/>
          <w:b/>
          <w:bCs/>
          <w:sz w:val="28"/>
          <w:szCs w:val="28"/>
        </w:rPr>
      </w:pPr>
      <w:r>
        <w:rPr>
          <w:rFonts w:hint="eastAsia"/>
          <w:b/>
          <w:bCs/>
          <w:sz w:val="28"/>
          <w:szCs w:val="28"/>
          <w:lang w:val="en-US" w:eastAsia="zh-CN"/>
        </w:rPr>
        <w:t>十、</w:t>
      </w:r>
      <w:r>
        <w:rPr>
          <w:rFonts w:hint="eastAsia"/>
          <w:b/>
          <w:bCs/>
          <w:sz w:val="28"/>
          <w:szCs w:val="28"/>
        </w:rPr>
        <w:t>教学进程总体安排</w:t>
      </w:r>
    </w:p>
    <w:p>
      <w:pPr>
        <w:numPr>
          <w:ilvl w:val="0"/>
          <w:numId w:val="0"/>
        </w:numPr>
        <w:ind w:leftChars="200"/>
        <w:rPr>
          <w:rFonts w:hint="eastAsia"/>
          <w:b/>
          <w:bCs/>
          <w:sz w:val="28"/>
          <w:szCs w:val="28"/>
          <w:lang w:val="en-US" w:eastAsia="zh-CN"/>
        </w:rPr>
      </w:pPr>
      <w:r>
        <w:drawing>
          <wp:inline distT="0" distB="0" distL="114300" distR="114300">
            <wp:extent cx="5403215" cy="5897880"/>
            <wp:effectExtent l="0" t="0" r="698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03215" cy="5897880"/>
                    </a:xfrm>
                    <a:prstGeom prst="rect">
                      <a:avLst/>
                    </a:prstGeom>
                    <a:noFill/>
                    <a:ln>
                      <a:noFill/>
                    </a:ln>
                  </pic:spPr>
                </pic:pic>
              </a:graphicData>
            </a:graphic>
          </wp:inline>
        </w:drawing>
      </w:r>
    </w:p>
    <w:p>
      <w:pPr>
        <w:rPr>
          <w:b/>
          <w:bCs/>
          <w:sz w:val="28"/>
          <w:szCs w:val="28"/>
        </w:rPr>
      </w:pPr>
      <w:r>
        <w:rPr>
          <w:rFonts w:hint="eastAsia"/>
          <w:b/>
          <w:bCs/>
          <w:sz w:val="28"/>
          <w:szCs w:val="28"/>
          <w:lang w:val="en-US" w:eastAsia="zh-CN"/>
        </w:rPr>
        <w:t>十一</w:t>
      </w:r>
      <w:r>
        <w:rPr>
          <w:rFonts w:hint="eastAsia"/>
          <w:b/>
          <w:bCs/>
          <w:sz w:val="28"/>
          <w:szCs w:val="28"/>
        </w:rPr>
        <w:t>、实施保障</w:t>
      </w:r>
    </w:p>
    <w:p>
      <w:pPr>
        <w:ind w:firstLine="562" w:firstLineChars="200"/>
        <w:rPr>
          <w:b/>
          <w:bCs/>
          <w:sz w:val="28"/>
          <w:szCs w:val="28"/>
        </w:rPr>
      </w:pPr>
      <w:r>
        <w:rPr>
          <w:rFonts w:hint="eastAsia"/>
          <w:b/>
          <w:bCs/>
          <w:sz w:val="28"/>
          <w:szCs w:val="28"/>
        </w:rPr>
        <w:t>（一）师资队伍</w:t>
      </w:r>
    </w:p>
    <w:p>
      <w:pPr>
        <w:ind w:firstLine="560" w:firstLineChars="200"/>
        <w:rPr>
          <w:sz w:val="28"/>
          <w:szCs w:val="28"/>
        </w:rPr>
      </w:pPr>
      <w:r>
        <w:rPr>
          <w:rFonts w:hint="eastAsia"/>
          <w:sz w:val="28"/>
          <w:szCs w:val="28"/>
        </w:rPr>
        <w:t>根据教育部颁布的《中等职业学校教师专业标准》和《中等职业学校设置标准》的有关规定，进行教师队伍建设，合理配置教师资源。专业教师学历职称结构合理，建立“双师型”专业教师团队，其中“双师型”教师达到</w:t>
      </w:r>
      <w:r>
        <w:rPr>
          <w:rFonts w:hint="eastAsia"/>
          <w:sz w:val="28"/>
          <w:szCs w:val="28"/>
          <w:lang w:val="en-US" w:eastAsia="zh-CN"/>
        </w:rPr>
        <w:t>7</w:t>
      </w:r>
      <w:r>
        <w:rPr>
          <w:rFonts w:hint="eastAsia"/>
          <w:sz w:val="28"/>
          <w:szCs w:val="28"/>
        </w:rPr>
        <w:t>0%。并聘请行业医院技术骨干担任兼职教师，兼职教师均具有中级以上职称，有丰富的临床实践经验和一定的教学能力。根据专业学生数现配相关专业专任教师</w:t>
      </w:r>
      <w:r>
        <w:rPr>
          <w:sz w:val="28"/>
          <w:szCs w:val="28"/>
        </w:rPr>
        <w:t>21</w:t>
      </w:r>
      <w:r>
        <w:rPr>
          <w:rFonts w:hint="eastAsia"/>
          <w:sz w:val="28"/>
          <w:szCs w:val="28"/>
        </w:rPr>
        <w:t>名，其中有中级及以上职称1</w:t>
      </w:r>
      <w:r>
        <w:rPr>
          <w:rFonts w:hint="eastAsia"/>
          <w:sz w:val="28"/>
          <w:szCs w:val="28"/>
          <w:lang w:val="en-US" w:eastAsia="zh-CN"/>
        </w:rPr>
        <w:t>3</w:t>
      </w:r>
      <w:r>
        <w:rPr>
          <w:rFonts w:hint="eastAsia"/>
          <w:sz w:val="28"/>
          <w:szCs w:val="28"/>
        </w:rPr>
        <w:t>人，硕士研究生2人、均具有本科及以上学历；具有良好的师德和终身学习能力，适应护理事业发展需求。专任教师定期到医院进行临床或专业实践，能够承担相应的课程和规定的教学任务，积极开展课程教学改革。</w:t>
      </w:r>
    </w:p>
    <w:p>
      <w:pPr>
        <w:ind w:firstLine="562" w:firstLineChars="200"/>
        <w:rPr>
          <w:b/>
          <w:bCs/>
          <w:sz w:val="28"/>
          <w:szCs w:val="28"/>
        </w:rPr>
      </w:pPr>
      <w:r>
        <w:rPr>
          <w:rFonts w:hint="eastAsia"/>
          <w:b/>
          <w:bCs/>
          <w:sz w:val="28"/>
          <w:szCs w:val="28"/>
        </w:rPr>
        <w:t>（二）教学设施</w:t>
      </w:r>
    </w:p>
    <w:p>
      <w:pPr>
        <w:ind w:firstLine="560" w:firstLineChars="200"/>
        <w:rPr>
          <w:sz w:val="28"/>
          <w:szCs w:val="28"/>
        </w:rPr>
      </w:pPr>
      <w:r>
        <w:rPr>
          <w:rFonts w:hint="eastAsia"/>
          <w:sz w:val="28"/>
          <w:szCs w:val="28"/>
        </w:rPr>
        <w:t>本专业配备校内实训实验室和校外实训实习基地。</w:t>
      </w:r>
    </w:p>
    <w:p>
      <w:pPr>
        <w:ind w:firstLine="560" w:firstLineChars="200"/>
        <w:rPr>
          <w:sz w:val="28"/>
          <w:szCs w:val="28"/>
        </w:rPr>
      </w:pPr>
      <w:r>
        <w:rPr>
          <w:rFonts w:hint="eastAsia"/>
          <w:sz w:val="28"/>
          <w:szCs w:val="28"/>
        </w:rPr>
        <w:t>校内实训实验室有基础护理实训室、</w:t>
      </w:r>
      <w:r>
        <w:rPr>
          <w:rFonts w:hint="eastAsia"/>
          <w:sz w:val="28"/>
          <w:szCs w:val="28"/>
          <w:lang w:val="en-US" w:eastAsia="zh-CN"/>
        </w:rPr>
        <w:t>1+X证书操作考核基地、</w:t>
      </w:r>
      <w:r>
        <w:rPr>
          <w:rFonts w:hint="eastAsia"/>
          <w:sz w:val="28"/>
          <w:szCs w:val="28"/>
        </w:rPr>
        <w:t>内科护理实训室、外科护理实训室、妇产科护理实训室、儿科护理实训室、急救护理实训室、老年护理综合实训室、解剖实验室、药物化学实验室等。</w:t>
      </w:r>
    </w:p>
    <w:p>
      <w:pPr>
        <w:ind w:firstLine="560" w:firstLineChars="200"/>
        <w:rPr>
          <w:sz w:val="28"/>
          <w:szCs w:val="28"/>
        </w:rPr>
      </w:pPr>
      <w:r>
        <w:rPr>
          <w:rFonts w:hint="eastAsia"/>
          <w:sz w:val="28"/>
          <w:szCs w:val="28"/>
        </w:rPr>
        <w:t>校外实训基地是满足工学结合要求，相对稳定，科室设置及设施设备配置等满足实训实习大纲的要求，有良好品牌、管理规范的教学医院或综合性医院，并与学校签订了保障性实习协议。</w:t>
      </w:r>
    </w:p>
    <w:p>
      <w:pPr>
        <w:ind w:firstLine="560" w:firstLineChars="200"/>
        <w:rPr>
          <w:sz w:val="28"/>
          <w:szCs w:val="28"/>
        </w:rPr>
      </w:pPr>
      <w:r>
        <w:rPr>
          <w:rFonts w:hint="eastAsia"/>
          <w:sz w:val="28"/>
          <w:szCs w:val="28"/>
        </w:rPr>
        <w:t>本专业主要的校外实训基地有：</w:t>
      </w:r>
    </w:p>
    <w:p>
      <w:pPr>
        <w:ind w:firstLine="560" w:firstLineChars="200"/>
        <w:rPr>
          <w:sz w:val="28"/>
          <w:szCs w:val="28"/>
        </w:rPr>
      </w:pPr>
      <w:r>
        <w:rPr>
          <w:sz w:val="28"/>
          <w:szCs w:val="28"/>
        </w:rPr>
        <w:t>1</w:t>
      </w:r>
      <w:r>
        <w:rPr>
          <w:rFonts w:hint="eastAsia"/>
          <w:sz w:val="28"/>
          <w:szCs w:val="28"/>
        </w:rPr>
        <w:t>、景德镇市第一人民医院</w:t>
      </w:r>
    </w:p>
    <w:p>
      <w:pPr>
        <w:ind w:firstLine="560" w:firstLineChars="200"/>
        <w:rPr>
          <w:sz w:val="28"/>
          <w:szCs w:val="28"/>
        </w:rPr>
      </w:pPr>
      <w:r>
        <w:rPr>
          <w:sz w:val="28"/>
          <w:szCs w:val="28"/>
        </w:rPr>
        <w:t>2</w:t>
      </w:r>
      <w:r>
        <w:rPr>
          <w:rFonts w:hint="eastAsia"/>
          <w:sz w:val="28"/>
          <w:szCs w:val="28"/>
        </w:rPr>
        <w:t>、景德镇市第二人民医院</w:t>
      </w:r>
    </w:p>
    <w:p>
      <w:pPr>
        <w:ind w:firstLine="560" w:firstLineChars="200"/>
        <w:rPr>
          <w:sz w:val="28"/>
          <w:szCs w:val="28"/>
        </w:rPr>
      </w:pPr>
      <w:r>
        <w:rPr>
          <w:sz w:val="28"/>
          <w:szCs w:val="28"/>
        </w:rPr>
        <w:t>3</w:t>
      </w:r>
      <w:r>
        <w:rPr>
          <w:rFonts w:hint="eastAsia"/>
          <w:sz w:val="28"/>
          <w:szCs w:val="28"/>
        </w:rPr>
        <w:t>、景德镇市第三人民医院</w:t>
      </w:r>
    </w:p>
    <w:p>
      <w:pPr>
        <w:ind w:firstLine="560" w:firstLineChars="200"/>
        <w:rPr>
          <w:sz w:val="28"/>
          <w:szCs w:val="28"/>
        </w:rPr>
      </w:pPr>
      <w:r>
        <w:rPr>
          <w:rFonts w:hint="eastAsia"/>
          <w:sz w:val="28"/>
          <w:szCs w:val="28"/>
        </w:rPr>
        <w:t>4、景德镇市中医医院</w:t>
      </w:r>
    </w:p>
    <w:p>
      <w:pPr>
        <w:ind w:firstLine="560" w:firstLineChars="200"/>
        <w:rPr>
          <w:rFonts w:hint="eastAsia"/>
          <w:b/>
          <w:bCs/>
          <w:sz w:val="28"/>
          <w:szCs w:val="28"/>
        </w:rPr>
      </w:pPr>
      <w:r>
        <w:rPr>
          <w:rFonts w:hint="eastAsia"/>
          <w:sz w:val="28"/>
          <w:szCs w:val="28"/>
        </w:rPr>
        <w:t>5、景德镇市社会福利院</w:t>
      </w:r>
    </w:p>
    <w:p>
      <w:pPr>
        <w:ind w:firstLine="562" w:firstLineChars="200"/>
        <w:rPr>
          <w:b/>
          <w:bCs/>
          <w:sz w:val="28"/>
          <w:szCs w:val="28"/>
        </w:rPr>
      </w:pPr>
      <w:r>
        <w:rPr>
          <w:rFonts w:hint="eastAsia"/>
          <w:b/>
          <w:bCs/>
          <w:sz w:val="28"/>
          <w:szCs w:val="28"/>
        </w:rPr>
        <w:t>（三）教学资源</w:t>
      </w:r>
    </w:p>
    <w:p>
      <w:pPr>
        <w:ind w:firstLine="560" w:firstLineChars="200"/>
        <w:rPr>
          <w:sz w:val="28"/>
          <w:szCs w:val="28"/>
        </w:rPr>
      </w:pPr>
      <w:r>
        <w:rPr>
          <w:rFonts w:hint="eastAsia"/>
          <w:sz w:val="28"/>
          <w:szCs w:val="28"/>
        </w:rPr>
        <w:t>1.教材选用</w:t>
      </w:r>
    </w:p>
    <w:p>
      <w:pPr>
        <w:ind w:firstLine="560" w:firstLineChars="200"/>
        <w:rPr>
          <w:sz w:val="28"/>
          <w:szCs w:val="28"/>
        </w:rPr>
      </w:pPr>
      <w:r>
        <w:rPr>
          <w:rFonts w:hint="eastAsia"/>
          <w:sz w:val="28"/>
          <w:szCs w:val="28"/>
        </w:rPr>
        <w:t>学校建立专业教师、行业专家和教研人员等组成的教材选用机构，建有完善的教材选用制度，经过规范程序，择优选用教材。选用国家卫生健康委员会规划教材，中等卫生职业教育教考融合示范教材，确保优质教材进课堂。</w:t>
      </w:r>
    </w:p>
    <w:p>
      <w:pPr>
        <w:ind w:firstLine="560" w:firstLineChars="200"/>
        <w:rPr>
          <w:sz w:val="28"/>
          <w:szCs w:val="28"/>
        </w:rPr>
      </w:pPr>
      <w:r>
        <w:rPr>
          <w:rFonts w:hint="eastAsia"/>
          <w:sz w:val="28"/>
          <w:szCs w:val="28"/>
        </w:rPr>
        <w:t>选用教材体现基于工作过程的课程设计思路，以学生为本，充分体现学生的主体作用和教师的组织、引导作用，提高学生学习的主动性和积极性。</w:t>
      </w:r>
    </w:p>
    <w:p>
      <w:pPr>
        <w:ind w:firstLine="560" w:firstLineChars="200"/>
        <w:rPr>
          <w:color w:val="FF0000"/>
          <w:sz w:val="28"/>
          <w:szCs w:val="28"/>
        </w:rPr>
      </w:pPr>
      <w:r>
        <w:rPr>
          <w:rFonts w:hint="eastAsia"/>
          <w:sz w:val="28"/>
          <w:szCs w:val="28"/>
        </w:rPr>
        <w:t>教材使用时，教师根据学生各方面特性，灵活使用教学方法，对教材的内容、编排顺序等方面进行适当的取舍和调整。</w:t>
      </w:r>
    </w:p>
    <w:p>
      <w:pPr>
        <w:ind w:firstLine="560" w:firstLineChars="200"/>
        <w:rPr>
          <w:sz w:val="28"/>
          <w:szCs w:val="28"/>
        </w:rPr>
      </w:pPr>
      <w:r>
        <w:rPr>
          <w:rFonts w:hint="eastAsia"/>
          <w:sz w:val="28"/>
          <w:szCs w:val="28"/>
        </w:rPr>
        <w:t>2.图书文献</w:t>
      </w:r>
    </w:p>
    <w:p>
      <w:pPr>
        <w:ind w:firstLine="560" w:firstLineChars="200"/>
        <w:rPr>
          <w:sz w:val="28"/>
          <w:szCs w:val="28"/>
        </w:rPr>
      </w:pPr>
      <w:r>
        <w:rPr>
          <w:rFonts w:hint="eastAsia"/>
          <w:sz w:val="28"/>
          <w:szCs w:val="28"/>
        </w:rPr>
        <w:t>学校图书馆目前馆藏纸质图书9万册，专业期刊4800余册，电子图书及电子期刊10万册。图书馆采用智能导航查询系统，建有图书阅览室和电子阅览室。</w:t>
      </w:r>
    </w:p>
    <w:p>
      <w:pPr>
        <w:ind w:firstLine="560" w:firstLineChars="200"/>
        <w:rPr>
          <w:sz w:val="28"/>
          <w:szCs w:val="28"/>
        </w:rPr>
      </w:pPr>
      <w:r>
        <w:rPr>
          <w:rFonts w:hint="eastAsia"/>
          <w:sz w:val="28"/>
          <w:szCs w:val="28"/>
        </w:rPr>
        <w:t>3.数字资源配套</w:t>
      </w:r>
    </w:p>
    <w:p>
      <w:pPr>
        <w:ind w:firstLine="560" w:firstLineChars="200"/>
        <w:rPr>
          <w:sz w:val="28"/>
          <w:szCs w:val="28"/>
        </w:rPr>
      </w:pPr>
      <w:r>
        <w:rPr>
          <w:rFonts w:hint="eastAsia"/>
          <w:sz w:val="28"/>
          <w:szCs w:val="28"/>
        </w:rPr>
        <w:t>（1）针对专业核心课程和技能方向课程制定课程建设方案，完成标准化教学课件、音频视频素材、题库等数字资源建设，并在校内学习平台上搭建线上课程，加大课程资源建设，便于学生学习。</w:t>
      </w:r>
    </w:p>
    <w:p>
      <w:pPr>
        <w:ind w:firstLine="560" w:firstLineChars="200"/>
        <w:rPr>
          <w:sz w:val="28"/>
          <w:szCs w:val="28"/>
        </w:rPr>
      </w:pPr>
      <w:r>
        <w:rPr>
          <w:rFonts w:hint="eastAsia"/>
          <w:sz w:val="28"/>
          <w:szCs w:val="28"/>
        </w:rPr>
        <w:t>（2）依托国家资源库建设平台，完成资源库课程建设，丰富数字化教学资源。</w:t>
      </w:r>
    </w:p>
    <w:p>
      <w:pPr>
        <w:ind w:firstLine="560" w:firstLineChars="200"/>
        <w:rPr>
          <w:sz w:val="28"/>
          <w:szCs w:val="28"/>
        </w:rPr>
      </w:pPr>
      <w:r>
        <w:rPr>
          <w:rFonts w:hint="eastAsia"/>
          <w:sz w:val="28"/>
          <w:szCs w:val="28"/>
        </w:rPr>
        <w:t>（3）借助超星网络教学平台组织教学，丰富课程教学形式。</w:t>
      </w:r>
    </w:p>
    <w:p>
      <w:pPr>
        <w:ind w:firstLine="560" w:firstLineChars="200"/>
        <w:rPr>
          <w:sz w:val="28"/>
          <w:szCs w:val="28"/>
        </w:rPr>
      </w:pPr>
      <w:r>
        <w:rPr>
          <w:rFonts w:hint="eastAsia"/>
          <w:sz w:val="28"/>
          <w:szCs w:val="28"/>
        </w:rPr>
        <w:t>（4）借助校企合作医院平台、各级各类行业内比赛等形式，丰富教学内容。</w:t>
      </w:r>
    </w:p>
    <w:p>
      <w:pPr>
        <w:ind w:firstLine="562" w:firstLineChars="200"/>
        <w:rPr>
          <w:b/>
          <w:bCs/>
          <w:sz w:val="28"/>
          <w:szCs w:val="28"/>
        </w:rPr>
      </w:pPr>
      <w:r>
        <w:rPr>
          <w:rFonts w:hint="eastAsia"/>
          <w:b/>
          <w:bCs/>
          <w:sz w:val="28"/>
          <w:szCs w:val="28"/>
        </w:rPr>
        <w:t>（四）教学方法</w:t>
      </w:r>
    </w:p>
    <w:p>
      <w:pPr>
        <w:ind w:firstLine="560" w:firstLineChars="200"/>
        <w:rPr>
          <w:sz w:val="28"/>
          <w:szCs w:val="28"/>
        </w:rPr>
      </w:pPr>
      <w:r>
        <w:rPr>
          <w:rFonts w:hint="eastAsia"/>
          <w:sz w:val="28"/>
          <w:szCs w:val="28"/>
        </w:rPr>
        <w:t>1.示范讲解法：</w:t>
      </w:r>
    </w:p>
    <w:p>
      <w:pPr>
        <w:ind w:firstLine="560" w:firstLineChars="200"/>
        <w:rPr>
          <w:sz w:val="28"/>
          <w:szCs w:val="28"/>
        </w:rPr>
      </w:pPr>
      <w:r>
        <w:rPr>
          <w:rFonts w:hint="eastAsia"/>
          <w:sz w:val="28"/>
          <w:szCs w:val="28"/>
        </w:rPr>
        <w:t>教师对操作流程进行示范操作，边做边讲解。</w:t>
      </w:r>
    </w:p>
    <w:p>
      <w:pPr>
        <w:ind w:firstLine="560" w:firstLineChars="200"/>
        <w:rPr>
          <w:sz w:val="28"/>
          <w:szCs w:val="28"/>
        </w:rPr>
      </w:pPr>
      <w:r>
        <w:rPr>
          <w:rFonts w:hint="eastAsia"/>
          <w:sz w:val="28"/>
          <w:szCs w:val="28"/>
        </w:rPr>
        <w:t>2.情景模拟法：</w:t>
      </w:r>
    </w:p>
    <w:p>
      <w:pPr>
        <w:ind w:firstLine="560" w:firstLineChars="200"/>
        <w:rPr>
          <w:sz w:val="28"/>
          <w:szCs w:val="28"/>
        </w:rPr>
      </w:pPr>
      <w:r>
        <w:rPr>
          <w:rFonts w:hint="eastAsia"/>
          <w:sz w:val="28"/>
          <w:szCs w:val="28"/>
        </w:rPr>
        <w:t>模拟医院的病房环境，模拟医院的疾病发生情景，引导学生应用所学的基础技能练习如何处理医院常见的突发情况，提高学生的应急应变和综合分析处理问题的能力。</w:t>
      </w:r>
    </w:p>
    <w:p>
      <w:pPr>
        <w:ind w:firstLine="560" w:firstLineChars="200"/>
        <w:rPr>
          <w:sz w:val="28"/>
          <w:szCs w:val="28"/>
        </w:rPr>
      </w:pPr>
      <w:r>
        <w:rPr>
          <w:rFonts w:hint="eastAsia"/>
          <w:sz w:val="28"/>
          <w:szCs w:val="28"/>
        </w:rPr>
        <w:t>3.案例分析、讨论法：</w:t>
      </w:r>
    </w:p>
    <w:p>
      <w:pPr>
        <w:ind w:firstLine="560" w:firstLineChars="200"/>
        <w:rPr>
          <w:sz w:val="28"/>
          <w:szCs w:val="28"/>
        </w:rPr>
      </w:pPr>
      <w:r>
        <w:rPr>
          <w:rFonts w:hint="eastAsia"/>
          <w:sz w:val="28"/>
          <w:szCs w:val="28"/>
        </w:rPr>
        <w:t>在讲授核心课程各系统疾病过程中使用典型病例，学生就病例开展小组讨论，激发学生学习兴趣，充分调动学生主观能动性及团队协作精神，提升学生的发现问题，解决问题的能力。使教学形成良好的氛围，发挥学生为主体的“生本位”教学思想。</w:t>
      </w:r>
    </w:p>
    <w:p>
      <w:pPr>
        <w:ind w:firstLine="560" w:firstLineChars="200"/>
        <w:rPr>
          <w:sz w:val="28"/>
          <w:szCs w:val="28"/>
        </w:rPr>
      </w:pPr>
      <w:r>
        <w:rPr>
          <w:rFonts w:hint="eastAsia"/>
          <w:sz w:val="28"/>
          <w:szCs w:val="28"/>
        </w:rPr>
        <w:t>4.实物演示法、视频教学法</w:t>
      </w:r>
    </w:p>
    <w:p>
      <w:pPr>
        <w:ind w:firstLine="560" w:firstLineChars="200"/>
        <w:rPr>
          <w:sz w:val="28"/>
          <w:szCs w:val="28"/>
        </w:rPr>
      </w:pPr>
      <w:r>
        <w:rPr>
          <w:rFonts w:hint="eastAsia"/>
          <w:sz w:val="28"/>
          <w:szCs w:val="28"/>
        </w:rPr>
        <w:t>在理论教学的过程中将实物和视频呈现给学生，使学生更直观的了解所要学习的人体结构，使学生更易于理解所要学习的内容，避免了单纯讲授的枯燥无味。</w:t>
      </w:r>
    </w:p>
    <w:p>
      <w:pPr>
        <w:ind w:firstLine="560" w:firstLineChars="200"/>
        <w:rPr>
          <w:sz w:val="28"/>
          <w:szCs w:val="28"/>
        </w:rPr>
      </w:pPr>
      <w:r>
        <w:rPr>
          <w:rFonts w:hint="eastAsia"/>
          <w:sz w:val="28"/>
          <w:szCs w:val="28"/>
        </w:rPr>
        <w:t>5、任务驱动法</w:t>
      </w:r>
    </w:p>
    <w:p>
      <w:pPr>
        <w:ind w:firstLine="560" w:firstLineChars="200"/>
        <w:rPr>
          <w:sz w:val="28"/>
          <w:szCs w:val="28"/>
        </w:rPr>
      </w:pPr>
      <w:r>
        <w:rPr>
          <w:rFonts w:hint="eastAsia"/>
          <w:sz w:val="28"/>
          <w:szCs w:val="28"/>
        </w:rPr>
        <w:t>将课程内容进行重组，模块化、任务化，以完成一个个具体的任务为线索，把教学内容巧妙地隐含在每个任务之中，让学生自己提出问题，并经过思考和教师的点拨，自己解决问题。</w:t>
      </w:r>
    </w:p>
    <w:p>
      <w:pPr>
        <w:ind w:firstLine="562" w:firstLineChars="200"/>
        <w:rPr>
          <w:b/>
          <w:bCs/>
          <w:sz w:val="28"/>
          <w:szCs w:val="28"/>
        </w:rPr>
      </w:pPr>
      <w:r>
        <w:rPr>
          <w:rFonts w:hint="eastAsia"/>
          <w:b/>
          <w:bCs/>
          <w:sz w:val="28"/>
          <w:szCs w:val="28"/>
        </w:rPr>
        <w:t>（五）教学评价</w:t>
      </w:r>
    </w:p>
    <w:p>
      <w:pPr>
        <w:ind w:firstLine="560" w:firstLineChars="200"/>
        <w:rPr>
          <w:sz w:val="28"/>
          <w:szCs w:val="28"/>
        </w:rPr>
      </w:pPr>
      <w:r>
        <w:rPr>
          <w:rFonts w:hint="eastAsia"/>
          <w:sz w:val="28"/>
          <w:szCs w:val="28"/>
        </w:rPr>
        <w:t>教学评价采用多元化评价方式，校内校外评价结合，执业资格证书考试评价与学业考核结合，教师评价、学生互评与自我评价相结合。</w:t>
      </w:r>
      <w:r>
        <w:rPr>
          <w:rFonts w:hint="eastAsia"/>
          <w:sz w:val="28"/>
          <w:szCs w:val="32"/>
        </w:rPr>
        <w:t>过程性评价与结果性评价相结合，过程性评价包括测验、观察记录、查阅实习手册等，结果性评价包括课程结束考试和毕业综合考试等。评价内容不仅关注学生对知识的理解和技能的掌握，更要关注学生在临床护理、实际运用与解决实际问题的能力水平。</w:t>
      </w:r>
    </w:p>
    <w:p>
      <w:pPr>
        <w:ind w:firstLine="560" w:firstLineChars="200"/>
        <w:rPr>
          <w:sz w:val="28"/>
          <w:szCs w:val="28"/>
        </w:rPr>
      </w:pPr>
      <w:r>
        <w:rPr>
          <w:rFonts w:hint="eastAsia"/>
          <w:sz w:val="28"/>
          <w:szCs w:val="28"/>
        </w:rPr>
        <w:t>内科护理、外科护理、妇产科护理、儿科护理、急救护理技术、基础护理等实践性较强的课程设有技能考核，毕业实习主要科目进行出科考核。考核方式为理论与技能操作相结合的方式按照教学评价的基本要求，学校制定有具体的评价办法和实施方案。考核完成后回收实习手册进行考核分析，将分析结果反馈给相关学生、教师和教学管理人员，并将其用于改进教与学。</w:t>
      </w:r>
    </w:p>
    <w:p>
      <w:pPr>
        <w:ind w:firstLine="560" w:firstLineChars="200"/>
        <w:rPr>
          <w:sz w:val="28"/>
          <w:szCs w:val="28"/>
        </w:rPr>
      </w:pPr>
      <w:r>
        <w:rPr>
          <w:rFonts w:hint="eastAsia"/>
          <w:sz w:val="28"/>
          <w:szCs w:val="28"/>
        </w:rPr>
        <w:t>毕业考试科目:护理学基础、内科护理学、外科护理学等。</w:t>
      </w:r>
    </w:p>
    <w:p>
      <w:pPr>
        <w:ind w:firstLine="562" w:firstLineChars="200"/>
        <w:rPr>
          <w:b/>
          <w:bCs/>
          <w:sz w:val="28"/>
          <w:szCs w:val="28"/>
        </w:rPr>
      </w:pPr>
      <w:r>
        <w:rPr>
          <w:rFonts w:hint="eastAsia"/>
          <w:b/>
          <w:bCs/>
          <w:sz w:val="28"/>
          <w:szCs w:val="28"/>
        </w:rPr>
        <w:t>（六）质量管理</w:t>
      </w:r>
    </w:p>
    <w:p>
      <w:pPr>
        <w:ind w:firstLine="560" w:firstLineChars="200"/>
        <w:rPr>
          <w:rFonts w:hint="eastAsia"/>
          <w:b/>
          <w:bCs/>
          <w:sz w:val="28"/>
          <w:szCs w:val="28"/>
          <w:lang w:val="en-US" w:eastAsia="zh-CN"/>
        </w:rPr>
      </w:pPr>
      <w:r>
        <w:rPr>
          <w:rFonts w:hint="eastAsia"/>
          <w:sz w:val="28"/>
          <w:szCs w:val="28"/>
        </w:rPr>
        <w:t>建立规范的教学检查制度、听课制度、教学督导工作条例，利用教育信息化系统进行教学管理；将行业企业引入教学管理，建立行业企业专家、教学专家、资深教师参与的督导组，建立由学校教学机构、实习就业机构、行业企业专家、同行院校专家、学生等组成的教学质量监控体系；制定教师培训制度，鼓励教师采取多种途径提升教学能力和专业素质，保证教学质量。</w:t>
      </w:r>
    </w:p>
    <w:p>
      <w:pPr>
        <w:rPr>
          <w:b/>
          <w:bCs/>
          <w:sz w:val="28"/>
          <w:szCs w:val="28"/>
        </w:rPr>
      </w:pPr>
      <w:r>
        <w:rPr>
          <w:rFonts w:hint="eastAsia"/>
          <w:b/>
          <w:bCs/>
          <w:sz w:val="28"/>
          <w:szCs w:val="28"/>
          <w:lang w:val="en-US" w:eastAsia="zh-CN"/>
        </w:rPr>
        <w:t>十二</w:t>
      </w:r>
      <w:r>
        <w:rPr>
          <w:rFonts w:hint="eastAsia"/>
          <w:b/>
          <w:bCs/>
          <w:sz w:val="28"/>
          <w:szCs w:val="28"/>
        </w:rPr>
        <w:t>、毕业要求</w:t>
      </w:r>
    </w:p>
    <w:p>
      <w:pPr>
        <w:ind w:firstLine="560" w:firstLineChars="200"/>
        <w:rPr>
          <w:sz w:val="28"/>
          <w:szCs w:val="28"/>
        </w:rPr>
      </w:pPr>
      <w:r>
        <w:rPr>
          <w:rFonts w:hint="eastAsia"/>
          <w:sz w:val="28"/>
          <w:szCs w:val="28"/>
        </w:rPr>
        <w:t>思想品德评价合格，并且毕业前各学期平均操行分不低于60分。</w:t>
      </w:r>
    </w:p>
    <w:p>
      <w:pPr>
        <w:ind w:firstLine="560" w:firstLineChars="200"/>
        <w:rPr>
          <w:sz w:val="28"/>
          <w:szCs w:val="28"/>
        </w:rPr>
      </w:pPr>
      <w:r>
        <w:rPr>
          <w:rFonts w:hint="eastAsia"/>
          <w:sz w:val="28"/>
          <w:szCs w:val="28"/>
        </w:rPr>
        <w:t>毕业前需修完本专业必修课程及选修课程，每门课程考试达到合格线。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CDD46"/>
    <w:multiLevelType w:val="singleLevel"/>
    <w:tmpl w:val="929CDD4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0MDEwZTAwMTQ5YWE5MmZmZGYyYjg1OGRhZmVjYTAifQ=="/>
  </w:docVars>
  <w:rsids>
    <w:rsidRoot w:val="004A7633"/>
    <w:rsid w:val="000D3A58"/>
    <w:rsid w:val="000D3A96"/>
    <w:rsid w:val="000F7C39"/>
    <w:rsid w:val="00112BBB"/>
    <w:rsid w:val="00210FFC"/>
    <w:rsid w:val="00262FF8"/>
    <w:rsid w:val="00272000"/>
    <w:rsid w:val="00282429"/>
    <w:rsid w:val="002F530C"/>
    <w:rsid w:val="00316E2F"/>
    <w:rsid w:val="003A78C9"/>
    <w:rsid w:val="003C6860"/>
    <w:rsid w:val="00412910"/>
    <w:rsid w:val="0041682E"/>
    <w:rsid w:val="0043647C"/>
    <w:rsid w:val="00454DE7"/>
    <w:rsid w:val="00475297"/>
    <w:rsid w:val="004A7633"/>
    <w:rsid w:val="00511F8B"/>
    <w:rsid w:val="00516DFF"/>
    <w:rsid w:val="005C56E0"/>
    <w:rsid w:val="005D14AC"/>
    <w:rsid w:val="0060009D"/>
    <w:rsid w:val="00613202"/>
    <w:rsid w:val="00656FD3"/>
    <w:rsid w:val="006E11DB"/>
    <w:rsid w:val="007030EB"/>
    <w:rsid w:val="007B0A6C"/>
    <w:rsid w:val="007B634A"/>
    <w:rsid w:val="007C568E"/>
    <w:rsid w:val="00827BA5"/>
    <w:rsid w:val="00906E8B"/>
    <w:rsid w:val="0091681E"/>
    <w:rsid w:val="009B43A4"/>
    <w:rsid w:val="009E4F50"/>
    <w:rsid w:val="009F5C62"/>
    <w:rsid w:val="00A30A91"/>
    <w:rsid w:val="00A41504"/>
    <w:rsid w:val="00A91D99"/>
    <w:rsid w:val="00AE4963"/>
    <w:rsid w:val="00B14ECB"/>
    <w:rsid w:val="00B22DEC"/>
    <w:rsid w:val="00B949B3"/>
    <w:rsid w:val="00BE22D3"/>
    <w:rsid w:val="00C97214"/>
    <w:rsid w:val="00CD1F89"/>
    <w:rsid w:val="00CD5DBE"/>
    <w:rsid w:val="00D8174C"/>
    <w:rsid w:val="00E23968"/>
    <w:rsid w:val="00E61461"/>
    <w:rsid w:val="00E7579D"/>
    <w:rsid w:val="00EA30D7"/>
    <w:rsid w:val="00EB7BDF"/>
    <w:rsid w:val="00EC6644"/>
    <w:rsid w:val="00F03ED1"/>
    <w:rsid w:val="00F25BF2"/>
    <w:rsid w:val="00F73731"/>
    <w:rsid w:val="00F93A40"/>
    <w:rsid w:val="00FB2D5B"/>
    <w:rsid w:val="00FC2454"/>
    <w:rsid w:val="00FD5520"/>
    <w:rsid w:val="14CC124F"/>
    <w:rsid w:val="16A341F9"/>
    <w:rsid w:val="20BB5453"/>
    <w:rsid w:val="257253A0"/>
    <w:rsid w:val="26667B3D"/>
    <w:rsid w:val="2A063430"/>
    <w:rsid w:val="2F681D89"/>
    <w:rsid w:val="33386686"/>
    <w:rsid w:val="33AA4063"/>
    <w:rsid w:val="374120F8"/>
    <w:rsid w:val="3C133F2F"/>
    <w:rsid w:val="408847A8"/>
    <w:rsid w:val="42BE5EB4"/>
    <w:rsid w:val="484978D3"/>
    <w:rsid w:val="4E13792A"/>
    <w:rsid w:val="4E2D0A1C"/>
    <w:rsid w:val="4E710F72"/>
    <w:rsid w:val="4F5808ED"/>
    <w:rsid w:val="54626321"/>
    <w:rsid w:val="54CC1041"/>
    <w:rsid w:val="57E5393F"/>
    <w:rsid w:val="6598709B"/>
    <w:rsid w:val="6A323DB5"/>
    <w:rsid w:val="74CD777F"/>
    <w:rsid w:val="788D7F00"/>
    <w:rsid w:val="794B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日期 字符"/>
    <w:basedOn w:val="8"/>
    <w:link w:val="2"/>
    <w:semiHidden/>
    <w:qFormat/>
    <w:uiPriority w:val="99"/>
  </w:style>
  <w:style w:type="paragraph" w:customStyle="1" w:styleId="12">
    <w:name w:val="Table Paragraph"/>
    <w:basedOn w:val="1"/>
    <w:qFormat/>
    <w:uiPriority w:val="1"/>
    <w:rPr>
      <w:rFonts w:ascii="宋体" w:hAnsi="宋体" w:cs="宋体"/>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8458</Words>
  <Characters>8571</Characters>
  <Lines>56</Lines>
  <Paragraphs>15</Paragraphs>
  <TotalTime>2</TotalTime>
  <ScaleCrop>false</ScaleCrop>
  <LinksUpToDate>false</LinksUpToDate>
  <CharactersWithSpaces>8584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2021-05-26T09:39:00Z</dcterms:created>
  <dc:creator>ZJ</dc:creator>
  <cp:lastModifiedBy>程雅雯的倒影</cp:lastModifiedBy>
  <cp:lastPrinted>2022-05-25T07:49:29Z</cp:lastPrinted>
  <dcterms:modified xsi:type="dcterms:W3CDTF">2022-05-25T07:55:01Z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E554D9B0C9CA42E9A6EA2B51BC9E7ECB</vt:lpwstr>
  </property>
</Properties>
</file>